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w:t>
      </w:r>
      <w:r>
        <w:rPr>
          <w:rFonts w:ascii="Times New Roman" w:cs="Times New Roman" w:eastAsia="Times New Roman" w:hAnsi="Times New Roman"/>
          <w:sz w:val="18"/>
          <w:szCs w:val="18"/>
          <w:color w:val="auto"/>
        </w:rPr>
        <w:t>(Date of earliest event reported):</w:t>
      </w:r>
      <w:r>
        <w:rPr>
          <w:rFonts w:ascii="Times New Roman" w:cs="Times New Roman" w:eastAsia="Times New Roman" w:hAnsi="Times New Roman"/>
          <w:sz w:val="18"/>
          <w:szCs w:val="18"/>
          <w:b w:val="1"/>
          <w:bCs w:val="1"/>
          <w:color w:val="auto"/>
        </w:rPr>
        <w:t xml:space="preserve"> May 21, 2024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Rush Enterprises,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32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0-20797</w:t>
            </w:r>
          </w:p>
        </w:tc>
        <w:tc>
          <w:tcPr>
            <w:tcW w:w="31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74-1733016</w:t>
            </w:r>
          </w:p>
        </w:tc>
      </w:tr>
      <w:tr>
        <w:trPr>
          <w:trHeight w:val="216"/>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of incorporation)</w:t>
            </w:r>
          </w:p>
        </w:tc>
        <w:tc>
          <w:tcPr>
            <w:tcW w:w="33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0"/>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555 IH-35 South, Suite 500</w:t>
            </w:r>
          </w:p>
        </w:tc>
        <w:tc>
          <w:tcPr>
            <w:tcW w:w="3320" w:type="dxa"/>
            <w:vAlign w:val="bottom"/>
          </w:tcPr>
          <w:p>
            <w:pPr>
              <w:spacing w:after="0"/>
              <w:rPr>
                <w:sz w:val="24"/>
                <w:szCs w:val="24"/>
                <w:color w:val="auto"/>
              </w:rPr>
            </w:pPr>
          </w:p>
        </w:tc>
        <w:tc>
          <w:tcPr>
            <w:tcW w:w="31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78130</w:t>
            </w:r>
          </w:p>
        </w:tc>
      </w:tr>
      <w:tr>
        <w:trPr>
          <w:trHeight w:val="220"/>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New Braunfels, Texas</w:t>
            </w:r>
          </w:p>
        </w:tc>
        <w:tc>
          <w:tcPr>
            <w:tcW w:w="3320" w:type="dxa"/>
            <w:vAlign w:val="bottom"/>
          </w:tcPr>
          <w:p>
            <w:pPr>
              <w:spacing w:after="0"/>
              <w:rPr>
                <w:sz w:val="19"/>
                <w:szCs w:val="19"/>
                <w:color w:val="auto"/>
              </w:rPr>
            </w:pPr>
          </w:p>
        </w:tc>
        <w:tc>
          <w:tcPr>
            <w:tcW w:w="31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2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(830) 302-5200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33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RUSHA</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par value $0.01 per share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RUSHB</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On May 21, 2024, Rush Enterprises, Inc. (the “Company”) held its 2024 Annual Meeting of Shareholders (the “2024 Annual Meeting”). At the 2024 Annual Meeting, the holders of 61,784,047 shares of Class A Common Stock (representing 3,089,202 total votes) and the holders of 17,259,479 shares of Class B Common Stock cast votes, either in person or by proxy. Set forth below are the final voting results for the proposals voted upon at the 2024 Annual Meeting. The 2024 Proxy Statement contains a detailed description of the proposals.</w:t>
      </w:r>
    </w:p>
    <w:p>
      <w:pPr>
        <w:spacing w:after="0" w:line="176"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Election of Directors</w:t>
      </w:r>
      <w:r>
        <w:rPr>
          <w:rFonts w:ascii="Times New Roman" w:cs="Times New Roman" w:eastAsia="Times New Roman" w:hAnsi="Times New Roman"/>
          <w:sz w:val="18"/>
          <w:szCs w:val="18"/>
          <w:color w:val="auto"/>
        </w:rPr>
        <w:t>. The Company’s shareholders elected W.M. “Rusty” Rush, Thomas A. Akin, Raymond J. Chess, William 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Cary, Dr. Kennon H. Guglielmo, Elaine Mendoza, Troy A. Clarke, Amy Boerger and Michael J. McRoberts as directors to hold office until the Company’s 2025 Annual Meeting of Shareholders. The voting results for each of these individuals were as follows:</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00" w:type="dxa"/>
            <w:vAlign w:val="bottom"/>
          </w:tcPr>
          <w:p>
            <w:pPr>
              <w:spacing w:after="0"/>
              <w:rPr>
                <w:sz w:val="20"/>
                <w:szCs w:val="20"/>
                <w:color w:val="auto"/>
              </w:rPr>
            </w:pPr>
          </w:p>
        </w:tc>
        <w:tc>
          <w:tcPr>
            <w:tcW w:w="23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0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M. “Rusty” Rush</w:t>
            </w:r>
          </w:p>
        </w:tc>
        <w:tc>
          <w:tcPr>
            <w:tcW w:w="2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17,509,869</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183,677</w:t>
            </w:r>
          </w:p>
        </w:tc>
        <w:tc>
          <w:tcPr>
            <w:tcW w:w="2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1,803,681</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Thomas A. Akin</w:t>
            </w:r>
          </w:p>
        </w:tc>
        <w:tc>
          <w:tcPr>
            <w:tcW w:w="2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16,447,467</w:t>
            </w:r>
          </w:p>
        </w:tc>
        <w:tc>
          <w:tcPr>
            <w:tcW w:w="2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1,246,079</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1,803,681</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 Chess</w:t>
            </w:r>
          </w:p>
        </w:tc>
        <w:tc>
          <w:tcPr>
            <w:tcW w:w="2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16,461,815</w:t>
            </w:r>
          </w:p>
        </w:tc>
        <w:tc>
          <w:tcPr>
            <w:tcW w:w="2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1,231,731</w:t>
            </w:r>
          </w:p>
        </w:tc>
        <w:tc>
          <w:tcPr>
            <w:tcW w:w="2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1,803,681</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William H. Cary</w:t>
            </w:r>
          </w:p>
        </w:tc>
        <w:tc>
          <w:tcPr>
            <w:tcW w:w="2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17,538,554</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154,992</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1,803,681</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Kennon H. Guglielmo</w:t>
            </w:r>
          </w:p>
        </w:tc>
        <w:tc>
          <w:tcPr>
            <w:tcW w:w="2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16,593,448</w:t>
            </w:r>
          </w:p>
        </w:tc>
        <w:tc>
          <w:tcPr>
            <w:tcW w:w="2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1,100,098</w:t>
            </w:r>
          </w:p>
        </w:tc>
        <w:tc>
          <w:tcPr>
            <w:tcW w:w="2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1,803,681</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Elaine Mendoza</w:t>
            </w:r>
          </w:p>
        </w:tc>
        <w:tc>
          <w:tcPr>
            <w:tcW w:w="2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15,849,196</w:t>
            </w:r>
          </w:p>
        </w:tc>
        <w:tc>
          <w:tcPr>
            <w:tcW w:w="2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1,844,350</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1,803,681</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A. Clarke</w:t>
            </w:r>
          </w:p>
        </w:tc>
        <w:tc>
          <w:tcPr>
            <w:tcW w:w="2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16,576,517</w:t>
            </w:r>
          </w:p>
        </w:tc>
        <w:tc>
          <w:tcPr>
            <w:tcW w:w="2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1,117,029</w:t>
            </w:r>
          </w:p>
        </w:tc>
        <w:tc>
          <w:tcPr>
            <w:tcW w:w="2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1,803,681</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Amy Boerger</w:t>
            </w:r>
          </w:p>
        </w:tc>
        <w:tc>
          <w:tcPr>
            <w:tcW w:w="2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17,671,548</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21,998</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1,803,681</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McRoberts</w:t>
            </w:r>
          </w:p>
        </w:tc>
        <w:tc>
          <w:tcPr>
            <w:tcW w:w="2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17,582,487</w:t>
            </w:r>
          </w:p>
        </w:tc>
        <w:tc>
          <w:tcPr>
            <w:tcW w:w="2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111,059</w:t>
            </w:r>
          </w:p>
        </w:tc>
        <w:tc>
          <w:tcPr>
            <w:tcW w:w="2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1,803,681</w:t>
            </w:r>
          </w:p>
        </w:tc>
      </w:tr>
    </w:tbl>
    <w:p>
      <w:pPr>
        <w:spacing w:after="0" w:line="194"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Ratification of the Company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Independent Registered Public Accounting Firm</w:t>
      </w:r>
      <w:r>
        <w:rPr>
          <w:rFonts w:ascii="Times New Roman" w:cs="Times New Roman" w:eastAsia="Times New Roman" w:hAnsi="Times New Roman"/>
          <w:sz w:val="18"/>
          <w:szCs w:val="18"/>
          <w:color w:val="auto"/>
        </w:rPr>
        <w:t>. The Company’s shareholders ratified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of Ernst &amp; Young LLP as the Company’s independent registered public accounting firm for the 2024 fiscal year. The voting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0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8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28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19,356,452</w:t>
            </w:r>
          </w:p>
        </w:tc>
        <w:tc>
          <w:tcPr>
            <w:tcW w:w="316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139,714</w:t>
            </w:r>
          </w:p>
        </w:tc>
        <w:tc>
          <w:tcPr>
            <w:tcW w:w="294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1,061</w:t>
            </w:r>
          </w:p>
        </w:tc>
        <w:tc>
          <w:tcPr>
            <w:tcW w:w="1140" w:type="dxa"/>
            <w:vAlign w:val="bottom"/>
          </w:tcPr>
          <w:p>
            <w:pPr>
              <w:spacing w:after="0"/>
              <w:rPr>
                <w:sz w:val="18"/>
                <w:szCs w:val="18"/>
                <w:color w:val="auto"/>
              </w:rPr>
            </w:pPr>
          </w:p>
        </w:tc>
      </w:tr>
      <w:tr>
        <w:trPr>
          <w:trHeight w:val="574"/>
        </w:trPr>
        <w:tc>
          <w:tcPr>
            <w:tcW w:w="1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24, 2024</w:t>
      </w:r>
      <w:r>
        <w:rPr>
          <w:sz w:val="20"/>
          <w:szCs w:val="20"/>
          <w:color w:val="auto"/>
        </w:rPr>
        <w:tab/>
      </w:r>
      <w:r>
        <w:rPr>
          <w:rFonts w:ascii="Times New Roman" w:cs="Times New Roman" w:eastAsia="Times New Roman" w:hAnsi="Times New Roman"/>
          <w:sz w:val="18"/>
          <w:szCs w:val="18"/>
          <w:color w:val="auto"/>
        </w:rPr>
        <w:t>By: /s/ Michael Goldstone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Corporate Secretary</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2024-05-24T16:30:38Z</dcterms:created>
  <dcterms:modified xsi:type="dcterms:W3CDTF">2024-05-24T16:30:38Z</dcterms:modified>
</cp:coreProperties>
</file>