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Keller Steven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IH 35 SOUTH,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BRAUNFELS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RUSH ENTERPRISES INC \TX\</w:t>
              </w:r>
            </w:hyperlink>
            <w:r>
              <w:rPr/>
              <w:t xml:space="preserve"> [ </w:t>
            </w:r>
            <w:r>
              <w:rPr>
                <w:rFonts w:ascii="Times;serif" w:hAnsi="Times;serif"/>
                <w:color w:val="0000FF"/>
                <w:sz w:val="24"/>
                <w:shd w:fill="FFFFFF" w:val="clear"/>
              </w:rPr>
              <w:t>RUSHA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&amp;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05"/>
        <w:gridCol w:w="339"/>
        <w:gridCol w:w="906"/>
        <w:gridCol w:w="423"/>
        <w:gridCol w:w="983"/>
        <w:gridCol w:w="1342"/>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15.06</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86,195.52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81.1187</w:t>
            </w:r>
            <w:r>
              <w:rPr>
                <w:rFonts w:ascii="Times;serif" w:hAnsi="Times;serif"/>
                <w:color w:val="008000"/>
                <w:position w:val="7"/>
                <w:sz w:val="16"/>
                <w:sz w:val="20"/>
                <w:shd w:fill="FFFFFF" w:val="clear"/>
              </w:rPr>
              <w:t>(1)</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84,373.52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20,678</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15.06</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105,051.52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20,678</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80.7262</w:t>
            </w:r>
            <w:r>
              <w:rPr>
                <w:rFonts w:ascii="Times;serif" w:hAnsi="Times;serif"/>
                <w:color w:val="008000"/>
                <w:position w:val="7"/>
                <w:sz w:val="16"/>
                <w:sz w:val="20"/>
                <w:shd w:fill="FFFFFF" w:val="clear"/>
              </w:rPr>
              <w:t>(2)</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84,373.52</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15.06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20,678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15.06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20,678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price is a weighted average price. These shares were sold in multiple transactions at prices ranging from $81.00 to $81.3731. The reporting person undertakes to provide Rush Enterprises, Inc., any security holder of Rush Enterprises, Inc.,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is a weighted average price. These shares were sold in multiple transactions at prices ranging from $80.50 to $80.86. The reporting person undertakes to provide Rush Enterprises, Inc., any security holder of Rush Enterprises, Inc.,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Options may be exercised in increments of 1/3 on each anniversary of the grant date beginning on the third anniversary of the grant date. The grant date is ten years prior to the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L. Keller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2503" TargetMode="External"/><Relationship Id="rId5" Type="http://schemas.openxmlformats.org/officeDocument/2006/relationships/hyperlink" Target="http://www.sec.gov/cgi-bin/browse-edgar?action=getcompany&amp;CIK=0001012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796</Words>
  <Characters>4224</Characters>
  <CharactersWithSpaces>4903</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