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2"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2001</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right="480" w:hanging="452"/>
        <w:spacing w:after="0" w:line="256"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transition period from ___________________________ to ____________________________________________</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0-20797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RUSH ENTERPRISES, INC.</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66" w:orient="portrait"/>
          <w:cols w:equalWidth="0" w:num="1">
            <w:col w:w="11440"/>
          </w:cols>
          <w:pgMar w:left="240" w:top="1003" w:right="219" w:bottom="0" w:gutter="0" w:footer="0" w:header="0"/>
        </w:sectPr>
      </w:pPr>
    </w:p>
    <w:p>
      <w:pPr>
        <w:spacing w:after="0" w:line="205" w:lineRule="exact"/>
        <w:rPr>
          <w:sz w:val="24"/>
          <w:szCs w:val="24"/>
          <w:color w:val="auto"/>
        </w:rPr>
      </w:pPr>
    </w:p>
    <w:p>
      <w:pPr>
        <w:ind w:left="2660"/>
        <w:spacing w:after="0"/>
        <w:rPr>
          <w:sz w:val="20"/>
          <w:szCs w:val="20"/>
          <w:color w:val="auto"/>
        </w:rPr>
      </w:pPr>
      <w:r>
        <w:rPr>
          <w:rFonts w:ascii="Arial" w:cs="Arial" w:eastAsia="Arial" w:hAnsi="Arial"/>
          <w:sz w:val="18"/>
          <w:szCs w:val="18"/>
          <w:b w:val="1"/>
          <w:bCs w:val="1"/>
          <w:color w:val="auto"/>
        </w:rPr>
        <w:t>Texas</w:t>
      </w:r>
    </w:p>
    <w:p>
      <w:pPr>
        <w:spacing w:after="0" w:line="21" w:lineRule="exact"/>
        <w:rPr>
          <w:sz w:val="24"/>
          <w:szCs w:val="24"/>
          <w:color w:val="auto"/>
        </w:rPr>
      </w:pPr>
    </w:p>
    <w:p>
      <w:pPr>
        <w:ind w:left="184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8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220"/>
        <w:spacing w:after="0"/>
        <w:rPr>
          <w:sz w:val="20"/>
          <w:szCs w:val="20"/>
          <w:color w:val="auto"/>
        </w:rPr>
      </w:pPr>
      <w:r>
        <w:rPr>
          <w:rFonts w:ascii="Arial" w:cs="Arial" w:eastAsia="Arial" w:hAnsi="Arial"/>
          <w:sz w:val="18"/>
          <w:szCs w:val="18"/>
          <w:b w:val="1"/>
          <w:bCs w:val="1"/>
          <w:color w:val="auto"/>
        </w:rPr>
        <w:t>74-1733016</w:t>
      </w:r>
    </w:p>
    <w:p>
      <w:pPr>
        <w:spacing w:after="0" w:line="21" w:lineRule="exact"/>
        <w:rPr>
          <w:sz w:val="24"/>
          <w:szCs w:val="24"/>
          <w:color w:val="auto"/>
        </w:rPr>
      </w:pPr>
    </w:p>
    <w:p>
      <w:pPr>
        <w:jc w:val="center"/>
        <w:ind w:right="222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jc w:val="center"/>
        <w:ind w:right="222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66" w:orient="portrait"/>
          <w:cols w:equalWidth="0" w:num="2">
            <w:col w:w="7200" w:space="720"/>
            <w:col w:w="3520"/>
          </w:cols>
          <w:pgMar w:left="240" w:top="1003" w:right="219" w:bottom="0" w:gutter="0" w:footer="0" w:header="0"/>
          <w:type w:val="continuous"/>
        </w:sectPr>
      </w:pP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555 I.H. 35 South Suite 500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New Braunfels, Texas 78130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(Zip Code)</w:t>
      </w:r>
    </w:p>
    <w:p>
      <w:pPr>
        <w:sectPr>
          <w:pgSz w:w="11900" w:h="16866" w:orient="portrait"/>
          <w:cols w:equalWidth="0" w:num="1">
            <w:col w:w="11440"/>
          </w:cols>
          <w:pgMar w:left="240" w:top="1003" w:right="219" w:bottom="0" w:gutter="0" w:footer="0" w:header="0"/>
          <w:type w:val="continuous"/>
        </w:sectPr>
      </w:pPr>
    </w:p>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(830) 626-5200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right="180" w:firstLine="571"/>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2" w:lineRule="exact"/>
        <w:rPr>
          <w:sz w:val="24"/>
          <w:szCs w:val="24"/>
          <w:color w:val="auto"/>
        </w:rPr>
      </w:pPr>
    </w:p>
    <w:p>
      <w:pPr>
        <w:jc w:val="center"/>
        <w:ind w:right="20"/>
        <w:spacing w:after="0" w:line="207" w:lineRule="exact"/>
        <w:tabs>
          <w:tab w:leader="none" w:pos="300" w:val="left"/>
          <w:tab w:leader="none" w:pos="380" w:val="left"/>
          <w:tab w:leader="none" w:pos="3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168910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ind w:left="580"/>
        <w:spacing w:after="0"/>
        <w:rPr>
          <w:sz w:val="20"/>
          <w:szCs w:val="20"/>
          <w:color w:val="auto"/>
        </w:rPr>
      </w:pPr>
      <w:r>
        <w:rPr>
          <w:rFonts w:ascii="Arial" w:cs="Arial" w:eastAsia="Arial" w:hAnsi="Arial"/>
          <w:sz w:val="18"/>
          <w:szCs w:val="18"/>
          <w:color w:val="auto"/>
        </w:rPr>
        <w:t>Indicated below is the number of shares outstanding of the registrant’s only class of common stock, as of August 13, 2001.</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10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600" w:type="dxa"/>
            <w:vAlign w:val="bottom"/>
          </w:tcPr>
          <w:p>
            <w:pPr>
              <w:spacing w:after="0"/>
              <w:rPr>
                <w:sz w:val="19"/>
                <w:szCs w:val="19"/>
                <w:color w:val="auto"/>
              </w:rPr>
            </w:pPr>
          </w:p>
        </w:tc>
      </w:tr>
      <w:tr>
        <w:trPr>
          <w:trHeight w:val="243"/>
        </w:trPr>
        <w:tc>
          <w:tcPr>
            <w:tcW w:w="10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80"/>
              </w:rPr>
              <w:t>Shares</w:t>
            </w:r>
          </w:p>
        </w:tc>
        <w:tc>
          <w:tcPr>
            <w:tcW w:w="1600" w:type="dxa"/>
            <w:vAlign w:val="bottom"/>
          </w:tcPr>
          <w:p>
            <w:pPr>
              <w:spacing w:after="0"/>
              <w:rPr>
                <w:sz w:val="21"/>
                <w:szCs w:val="21"/>
                <w:color w:val="auto"/>
              </w:rPr>
            </w:pPr>
          </w:p>
        </w:tc>
      </w:tr>
      <w:tr>
        <w:trPr>
          <w:trHeight w:val="243"/>
        </w:trPr>
        <w:tc>
          <w:tcPr>
            <w:tcW w:w="108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Title of Class</w:t>
            </w:r>
          </w:p>
        </w:tc>
        <w:tc>
          <w:tcPr>
            <w:tcW w:w="2660" w:type="dxa"/>
            <w:vAlign w:val="bottom"/>
          </w:tcPr>
          <w:p>
            <w:pPr>
              <w:spacing w:after="0"/>
              <w:rPr>
                <w:sz w:val="21"/>
                <w:szCs w:val="21"/>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88"/>
              </w:rPr>
              <w:t>Outstanding</w:t>
            </w:r>
          </w:p>
        </w:tc>
        <w:tc>
          <w:tcPr>
            <w:tcW w:w="1600" w:type="dxa"/>
            <w:vAlign w:val="bottom"/>
          </w:tcPr>
          <w:p>
            <w:pPr>
              <w:spacing w:after="0"/>
              <w:rPr>
                <w:sz w:val="21"/>
                <w:szCs w:val="21"/>
                <w:color w:val="auto"/>
              </w:rPr>
            </w:pPr>
          </w:p>
        </w:tc>
      </w:tr>
      <w:tr>
        <w:trPr>
          <w:trHeight w:val="124"/>
        </w:trPr>
        <w:tc>
          <w:tcPr>
            <w:tcW w:w="1080" w:type="dxa"/>
            <w:vAlign w:val="bottom"/>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266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1600" w:type="dxa"/>
            <w:vAlign w:val="bottom"/>
          </w:tcPr>
          <w:p>
            <w:pPr>
              <w:spacing w:after="0"/>
              <w:rPr>
                <w:sz w:val="10"/>
                <w:szCs w:val="10"/>
                <w:color w:val="auto"/>
              </w:rPr>
            </w:pPr>
          </w:p>
        </w:tc>
      </w:tr>
      <w:tr>
        <w:trPr>
          <w:trHeight w:val="343"/>
        </w:trPr>
        <w:tc>
          <w:tcPr>
            <w:tcW w:w="108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88"/>
              </w:rPr>
              <w:t>Common Stock, $.01 Par Value</w:t>
            </w:r>
          </w:p>
        </w:tc>
        <w:tc>
          <w:tcPr>
            <w:tcW w:w="5420" w:type="dxa"/>
            <w:vAlign w:val="bottom"/>
            <w:gridSpan w:val="2"/>
          </w:tcPr>
          <w:p>
            <w:pPr>
              <w:jc w:val="center"/>
              <w:ind w:left="2552"/>
              <w:spacing w:after="0"/>
              <w:rPr>
                <w:sz w:val="20"/>
                <w:szCs w:val="20"/>
                <w:color w:val="auto"/>
              </w:rPr>
            </w:pPr>
            <w:r>
              <w:rPr>
                <w:rFonts w:ascii="Arial" w:cs="Arial" w:eastAsia="Arial" w:hAnsi="Arial"/>
                <w:sz w:val="18"/>
                <w:szCs w:val="18"/>
                <w:color w:val="auto"/>
                <w:w w:val="87"/>
              </w:rPr>
              <w:t>7,002,044</w:t>
            </w:r>
          </w:p>
        </w:tc>
        <w:tc>
          <w:tcPr>
            <w:tcW w:w="1600" w:type="dxa"/>
            <w:vAlign w:val="bottom"/>
          </w:tcPr>
          <w:p>
            <w:pPr>
              <w:spacing w:after="0"/>
              <w:rPr>
                <w:sz w:val="24"/>
                <w:szCs w:val="24"/>
                <w:color w:val="auto"/>
              </w:rPr>
            </w:pPr>
          </w:p>
        </w:tc>
      </w:tr>
      <w:tr>
        <w:trPr>
          <w:trHeight w:val="650"/>
        </w:trPr>
        <w:tc>
          <w:tcPr>
            <w:tcW w:w="10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98"/>
        </w:trPr>
        <w:tc>
          <w:tcPr>
            <w:tcW w:w="1080" w:type="dxa"/>
            <w:vAlign w:val="bottom"/>
            <w:tcBorders>
              <w:bottom w:val="single" w:sz="8" w:color="auto"/>
            </w:tcBorders>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276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Item 1. Financial Statements</w:t>
      </w:r>
    </w:p>
    <w:p>
      <w:pPr>
        <w:spacing w:after="0" w:line="279" w:lineRule="exact"/>
        <w:rPr>
          <w:sz w:val="24"/>
          <w:szCs w:val="24"/>
          <w:color w:val="auto"/>
        </w:rPr>
      </w:pPr>
    </w:p>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Consolidated Balance Sheets – June 30, 2001 (unaudited) and December 31, 2000</w:t>
        </w:r>
      </w:hyperlink>
    </w:p>
    <w:p>
      <w:pPr>
        <w:sectPr>
          <w:pgSz w:w="11900" w:h="16866" w:orient="portrait"/>
          <w:cols w:equalWidth="0" w:num="1">
            <w:col w:w="11440"/>
          </w:cols>
          <w:pgMar w:left="240" w:top="1003" w:right="219" w:bottom="0" w:gutter="0" w:footer="0" w:header="0"/>
          <w:type w:val="continuous"/>
        </w:sectPr>
      </w:pPr>
    </w:p>
    <w:bookmarkStart w:id="1" w:name="page2"/>
    <w:bookmarkEnd w:id="1"/>
    <w:p>
      <w:pPr>
        <w:ind w:left="3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Income - For the Three and Six Months Ended June 30, 2001 and 2000 (unaudited)</w:t>
        </w:r>
      </w:hyperlink>
    </w:p>
    <w:p>
      <w:pPr>
        <w:spacing w:after="0" w:line="279" w:lineRule="exact"/>
        <w:rPr>
          <w:sz w:val="20"/>
          <w:szCs w:val="20"/>
          <w:color w:val="auto"/>
        </w:rPr>
      </w:pPr>
    </w:p>
    <w:p>
      <w:pPr>
        <w:ind w:left="3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Cash Flows - For the Six Months Ended June 30, 2001 and 2000 (unaudited)</w:t>
        </w:r>
      </w:hyperlink>
    </w:p>
    <w:p>
      <w:pPr>
        <w:spacing w:after="0" w:line="279" w:lineRule="exact"/>
        <w:rPr>
          <w:sz w:val="20"/>
          <w:szCs w:val="20"/>
          <w:color w:val="auto"/>
        </w:rPr>
      </w:pPr>
    </w:p>
    <w:p>
      <w:pPr>
        <w:ind w:left="3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Notes to Consolidated Financial Statements (unaudited)</w:t>
        </w:r>
      </w:hyperlink>
    </w:p>
    <w:p>
      <w:pPr>
        <w:spacing w:after="0" w:line="279" w:lineRule="exact"/>
        <w:rPr>
          <w:sz w:val="20"/>
          <w:szCs w:val="20"/>
          <w:color w:val="auto"/>
        </w:rPr>
      </w:pPr>
    </w:p>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2. Management’s Discussion and Analysis of Financial Condition and Results of Operations</w:t>
        </w:r>
      </w:hyperlink>
    </w:p>
    <w:p>
      <w:pPr>
        <w:spacing w:after="0" w:line="279" w:lineRule="exact"/>
        <w:rPr>
          <w:sz w:val="20"/>
          <w:szCs w:val="20"/>
          <w:color w:val="auto"/>
        </w:rPr>
      </w:pPr>
    </w:p>
    <w:p>
      <w:pPr>
        <w:ind w:left="1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Item 3. Quantitative and Qualitative Disclosures about Market Risk</w:t>
        </w:r>
      </w:hyperlink>
    </w:p>
    <w:p>
      <w:pPr>
        <w:spacing w:after="0" w:line="27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PART II. OTHER INFORMATION</w:t>
        </w:r>
      </w:hyperlink>
    </w:p>
    <w:p>
      <w:pPr>
        <w:spacing w:after="0" w:line="27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 and Per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60" w:type="dxa"/>
            <w:vAlign w:val="bottom"/>
          </w:tcPr>
          <w:p>
            <w:pPr>
              <w:jc w:val="center"/>
              <w:ind w:left="552"/>
              <w:spacing w:after="0"/>
              <w:rPr>
                <w:sz w:val="20"/>
                <w:szCs w:val="20"/>
                <w:color w:val="auto"/>
              </w:rPr>
            </w:pPr>
            <w:r>
              <w:rPr>
                <w:rFonts w:ascii="Arial" w:cs="Arial" w:eastAsia="Arial" w:hAnsi="Arial"/>
                <w:sz w:val="18"/>
                <w:szCs w:val="18"/>
                <w:color w:val="auto"/>
                <w:w w:val="83"/>
              </w:rPr>
              <w:t>June 30,</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tcPr>
          <w:p>
            <w:pPr>
              <w:jc w:val="center"/>
              <w:ind w:right="292"/>
              <w:spacing w:after="0"/>
              <w:rPr>
                <w:sz w:val="20"/>
                <w:szCs w:val="20"/>
                <w:color w:val="auto"/>
              </w:rPr>
            </w:pPr>
            <w:r>
              <w:rPr>
                <w:rFonts w:ascii="Arial" w:cs="Arial" w:eastAsia="Arial" w:hAnsi="Arial"/>
                <w:sz w:val="18"/>
                <w:szCs w:val="18"/>
                <w:color w:val="auto"/>
                <w:w w:val="86"/>
              </w:rPr>
              <w:t>December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60" w:type="dxa"/>
            <w:vAlign w:val="bottom"/>
          </w:tcPr>
          <w:p>
            <w:pPr>
              <w:jc w:val="center"/>
              <w:ind w:left="552"/>
              <w:spacing w:after="0"/>
              <w:rPr>
                <w:sz w:val="20"/>
                <w:szCs w:val="20"/>
                <w:color w:val="auto"/>
              </w:rPr>
            </w:pPr>
            <w:r>
              <w:rPr>
                <w:rFonts w:ascii="Arial" w:cs="Arial" w:eastAsia="Arial" w:hAnsi="Arial"/>
                <w:sz w:val="18"/>
                <w:szCs w:val="18"/>
                <w:color w:val="auto"/>
                <w:w w:val="84"/>
              </w:rPr>
              <w:t>2001</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jc w:val="center"/>
              <w:ind w:right="312"/>
              <w:spacing w:after="0"/>
              <w:rPr>
                <w:sz w:val="20"/>
                <w:szCs w:val="20"/>
                <w:color w:val="auto"/>
              </w:rPr>
            </w:pPr>
            <w:r>
              <w:rPr>
                <w:rFonts w:ascii="Arial" w:cs="Arial" w:eastAsia="Arial" w:hAnsi="Arial"/>
                <w:sz w:val="18"/>
                <w:szCs w:val="18"/>
                <w:color w:val="auto"/>
                <w:w w:val="89"/>
              </w:rPr>
              <w:t>2000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60" w:type="dxa"/>
            <w:vAlign w:val="bottom"/>
          </w:tcPr>
          <w:p>
            <w:pPr>
              <w:jc w:val="center"/>
              <w:ind w:left="552"/>
              <w:spacing w:after="0"/>
              <w:rPr>
                <w:sz w:val="20"/>
                <w:szCs w:val="20"/>
                <w:color w:val="auto"/>
              </w:rPr>
            </w:pPr>
            <w:r>
              <w:rPr>
                <w:rFonts w:ascii="Arial" w:cs="Arial" w:eastAsia="Arial" w:hAnsi="Arial"/>
                <w:sz w:val="18"/>
                <w:szCs w:val="18"/>
                <w:color w:val="auto"/>
                <w:w w:val="91"/>
              </w:rPr>
              <w:t>(Unaudited)</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jc w:val="center"/>
              <w:ind w:right="312"/>
              <w:spacing w:after="0"/>
              <w:rPr>
                <w:sz w:val="20"/>
                <w:szCs w:val="20"/>
                <w:color w:val="auto"/>
              </w:rPr>
            </w:pPr>
            <w:r>
              <w:rPr>
                <w:rFonts w:ascii="Arial" w:cs="Arial" w:eastAsia="Arial" w:hAnsi="Arial"/>
                <w:sz w:val="18"/>
                <w:szCs w:val="18"/>
                <w:color w:val="auto"/>
                <w:w w:val="93"/>
              </w:rPr>
              <w:t>(Audited)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100" w:type="dxa"/>
            <w:vAlign w:val="bottom"/>
            <w:gridSpan w:val="4"/>
            <w:shd w:val="clear" w:color="auto" w:fill="CCEEFF"/>
          </w:tcPr>
          <w:p>
            <w:pPr>
              <w:jc w:val="right"/>
              <w:ind w:right="2960"/>
              <w:spacing w:after="0" w:line="202" w:lineRule="exact"/>
              <w:rPr>
                <w:sz w:val="20"/>
                <w:szCs w:val="20"/>
                <w:color w:val="auto"/>
              </w:rPr>
            </w:pPr>
            <w:r>
              <w:rPr>
                <w:rFonts w:ascii="Arial" w:cs="Arial" w:eastAsia="Arial" w:hAnsi="Arial"/>
                <w:sz w:val="18"/>
                <w:szCs w:val="18"/>
                <w:color w:val="auto"/>
              </w:rPr>
              <w:t>ASSETS</w:t>
            </w:r>
          </w:p>
        </w:tc>
        <w:tc>
          <w:tcPr>
            <w:tcW w:w="1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580" w:type="dxa"/>
            <w:vAlign w:val="bottom"/>
            <w:gridSpan w:val="6"/>
          </w:tcPr>
          <w:p>
            <w:pPr>
              <w:spacing w:after="0"/>
              <w:rPr>
                <w:sz w:val="20"/>
                <w:szCs w:val="20"/>
                <w:color w:val="auto"/>
              </w:rPr>
            </w:pPr>
            <w:r>
              <w:rPr>
                <w:rFonts w:ascii="Arial" w:cs="Arial" w:eastAsia="Arial" w:hAnsi="Arial"/>
                <w:sz w:val="18"/>
                <w:szCs w:val="18"/>
                <w:color w:val="auto"/>
              </w:rPr>
              <w:t>CURRENT ASSETS:</w:t>
            </w:r>
          </w:p>
        </w:tc>
        <w:tc>
          <w:tcPr>
            <w:tcW w:w="1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660" w:type="dxa"/>
            <w:vAlign w:val="bottom"/>
            <w:shd w:val="clear" w:color="auto" w:fill="CCEEFF"/>
          </w:tcPr>
          <w:p>
            <w:pPr>
              <w:jc w:val="right"/>
              <w:ind w:right="147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22,662</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gridSpan w:val="5"/>
          </w:tcPr>
          <w:p>
            <w:pPr>
              <w:ind w:left="100"/>
              <w:spacing w:after="0"/>
              <w:rPr>
                <w:sz w:val="20"/>
                <w:szCs w:val="20"/>
                <w:color w:val="auto"/>
              </w:rPr>
            </w:pPr>
            <w:r>
              <w:rPr>
                <w:rFonts w:ascii="Arial" w:cs="Arial" w:eastAsia="Arial" w:hAnsi="Arial"/>
                <w:sz w:val="18"/>
                <w:szCs w:val="18"/>
                <w:color w:val="auto"/>
              </w:rPr>
              <w:t>Accounts receivable, net</w:t>
            </w:r>
          </w:p>
        </w:tc>
        <w:tc>
          <w:tcPr>
            <w:tcW w:w="16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17,285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20,350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Inventories</w:t>
            </w:r>
          </w:p>
        </w:tc>
        <w:tc>
          <w:tcPr>
            <w:tcW w:w="16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134,529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177,415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gridSpan w:val="5"/>
          </w:tcPr>
          <w:p>
            <w:pPr>
              <w:ind w:left="100"/>
              <w:spacing w:after="0"/>
              <w:rPr>
                <w:sz w:val="20"/>
                <w:szCs w:val="20"/>
                <w:color w:val="auto"/>
              </w:rPr>
            </w:pPr>
            <w:r>
              <w:rPr>
                <w:rFonts w:ascii="Arial" w:cs="Arial" w:eastAsia="Arial" w:hAnsi="Arial"/>
                <w:sz w:val="18"/>
                <w:szCs w:val="18"/>
                <w:color w:val="auto"/>
              </w:rPr>
              <w:t>Prepaid expenses and other</w:t>
            </w:r>
          </w:p>
        </w:tc>
        <w:tc>
          <w:tcPr>
            <w:tcW w:w="16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3,800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Deferred income taxes</w:t>
            </w:r>
          </w:p>
        </w:tc>
        <w:tc>
          <w:tcPr>
            <w:tcW w:w="16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6560" w:type="dxa"/>
            <w:vAlign w:val="bottom"/>
            <w:gridSpan w:val="5"/>
          </w:tcPr>
          <w:p>
            <w:pPr>
              <w:ind w:left="660"/>
              <w:spacing w:after="0"/>
              <w:rPr>
                <w:sz w:val="20"/>
                <w:szCs w:val="20"/>
                <w:color w:val="auto"/>
              </w:rPr>
            </w:pPr>
            <w:r>
              <w:rPr>
                <w:rFonts w:ascii="Arial" w:cs="Arial" w:eastAsia="Arial" w:hAnsi="Arial"/>
                <w:sz w:val="18"/>
                <w:szCs w:val="18"/>
                <w:color w:val="auto"/>
              </w:rPr>
              <w:t>Total current assets</w:t>
            </w:r>
          </w:p>
        </w:tc>
        <w:tc>
          <w:tcPr>
            <w:tcW w:w="16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177,249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222,324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5"/>
          </w:tcPr>
          <w:p>
            <w:pPr>
              <w:spacing w:after="0"/>
              <w:rPr>
                <w:sz w:val="20"/>
                <w:szCs w:val="20"/>
                <w:color w:val="auto"/>
              </w:rPr>
            </w:pPr>
            <w:r>
              <w:rPr>
                <w:rFonts w:ascii="Arial" w:cs="Arial" w:eastAsia="Arial" w:hAnsi="Arial"/>
                <w:sz w:val="18"/>
                <w:szCs w:val="18"/>
                <w:color w:val="auto"/>
              </w:rPr>
              <w:t>PROPERTY AND EQUIPMENT, net</w:t>
            </w:r>
          </w:p>
        </w:tc>
        <w:tc>
          <w:tcPr>
            <w:tcW w:w="1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128,902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130,532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560" w:type="dxa"/>
            <w:vAlign w:val="bottom"/>
            <w:gridSpan w:val="5"/>
          </w:tcPr>
          <w:p>
            <w:pPr>
              <w:spacing w:after="0"/>
              <w:rPr>
                <w:sz w:val="20"/>
                <w:szCs w:val="20"/>
                <w:color w:val="auto"/>
              </w:rPr>
            </w:pPr>
            <w:r>
              <w:rPr>
                <w:rFonts w:ascii="Arial" w:cs="Arial" w:eastAsia="Arial" w:hAnsi="Arial"/>
                <w:sz w:val="18"/>
                <w:szCs w:val="18"/>
                <w:color w:val="auto"/>
              </w:rPr>
              <w:t>OTHER ASSETS, net</w:t>
            </w:r>
          </w:p>
        </w:tc>
        <w:tc>
          <w:tcPr>
            <w:tcW w:w="1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37,277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37,885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gridSpan w:val="5"/>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1660" w:type="dxa"/>
            <w:vAlign w:val="bottom"/>
            <w:shd w:val="clear" w:color="auto" w:fill="CCEEFF"/>
          </w:tcPr>
          <w:p>
            <w:pPr>
              <w:jc w:val="right"/>
              <w:ind w:right="147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343,428</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390,741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60" w:type="dxa"/>
            <w:vAlign w:val="bottom"/>
            <w:gridSpan w:val="5"/>
            <w:vMerge w:val="restart"/>
          </w:tcPr>
          <w:p>
            <w:pPr>
              <w:ind w:left="1460"/>
              <w:spacing w:after="0"/>
              <w:rPr>
                <w:sz w:val="20"/>
                <w:szCs w:val="20"/>
                <w:color w:val="auto"/>
              </w:rPr>
            </w:pPr>
            <w:r>
              <w:rPr>
                <w:rFonts w:ascii="Arial" w:cs="Arial" w:eastAsia="Arial" w:hAnsi="Arial"/>
                <w:sz w:val="18"/>
                <w:szCs w:val="18"/>
                <w:color w:val="auto"/>
              </w:rPr>
              <w:t>LIABILITIES AND SHAREHOLDERS’ EQUITY</w:t>
            </w:r>
          </w:p>
        </w:tc>
        <w:tc>
          <w:tcPr>
            <w:tcW w:w="16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6560" w:type="dxa"/>
            <w:vAlign w:val="bottom"/>
            <w:gridSpan w:val="5"/>
            <w:vMerge w:val="continue"/>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580" w:type="dxa"/>
            <w:vAlign w:val="bottom"/>
            <w:gridSpan w:val="6"/>
          </w:tcPr>
          <w:p>
            <w:pPr>
              <w:spacing w:after="0"/>
              <w:rPr>
                <w:sz w:val="20"/>
                <w:szCs w:val="20"/>
                <w:color w:val="auto"/>
              </w:rPr>
            </w:pPr>
            <w:r>
              <w:rPr>
                <w:rFonts w:ascii="Arial" w:cs="Arial" w:eastAsia="Arial" w:hAnsi="Arial"/>
                <w:sz w:val="18"/>
                <w:szCs w:val="18"/>
                <w:color w:val="auto"/>
              </w:rPr>
              <w:t>CURRENT LIABILITIES:</w:t>
            </w:r>
          </w:p>
        </w:tc>
        <w:tc>
          <w:tcPr>
            <w:tcW w:w="1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Floor plan notes payable</w:t>
            </w:r>
          </w:p>
        </w:tc>
        <w:tc>
          <w:tcPr>
            <w:tcW w:w="1660" w:type="dxa"/>
            <w:vAlign w:val="bottom"/>
            <w:shd w:val="clear" w:color="auto" w:fill="CCEEFF"/>
          </w:tcPr>
          <w:p>
            <w:pPr>
              <w:jc w:val="right"/>
              <w:ind w:right="147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100,326</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146,272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gridSpan w:val="5"/>
          </w:tcPr>
          <w:p>
            <w:pPr>
              <w:ind w:left="100"/>
              <w:spacing w:after="0"/>
              <w:rPr>
                <w:sz w:val="20"/>
                <w:szCs w:val="20"/>
                <w:color w:val="auto"/>
              </w:rPr>
            </w:pPr>
            <w:r>
              <w:rPr>
                <w:rFonts w:ascii="Arial" w:cs="Arial" w:eastAsia="Arial" w:hAnsi="Arial"/>
                <w:sz w:val="18"/>
                <w:szCs w:val="18"/>
                <w:color w:val="auto"/>
              </w:rPr>
              <w:t>Current maturities of long-term debt</w:t>
            </w:r>
          </w:p>
        </w:tc>
        <w:tc>
          <w:tcPr>
            <w:tcW w:w="16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9,111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11,379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Advances outstanding under lines of credit</w:t>
            </w:r>
          </w:p>
        </w:tc>
        <w:tc>
          <w:tcPr>
            <w:tcW w:w="16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gridSpan w:val="5"/>
          </w:tcPr>
          <w:p>
            <w:pPr>
              <w:ind w:left="100"/>
              <w:spacing w:after="0"/>
              <w:rPr>
                <w:sz w:val="20"/>
                <w:szCs w:val="20"/>
                <w:color w:val="auto"/>
              </w:rPr>
            </w:pPr>
            <w:r>
              <w:rPr>
                <w:rFonts w:ascii="Arial" w:cs="Arial" w:eastAsia="Arial" w:hAnsi="Arial"/>
                <w:sz w:val="18"/>
                <w:szCs w:val="18"/>
                <w:color w:val="auto"/>
              </w:rPr>
              <w:t>Trade accounts payable</w:t>
            </w:r>
          </w:p>
        </w:tc>
        <w:tc>
          <w:tcPr>
            <w:tcW w:w="16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12,024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14,157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Accrued expenses</w:t>
            </w:r>
          </w:p>
        </w:tc>
        <w:tc>
          <w:tcPr>
            <w:tcW w:w="16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6560" w:type="dxa"/>
            <w:vAlign w:val="bottom"/>
            <w:gridSpan w:val="5"/>
          </w:tcPr>
          <w:p>
            <w:pPr>
              <w:ind w:left="720"/>
              <w:spacing w:after="0"/>
              <w:rPr>
                <w:sz w:val="20"/>
                <w:szCs w:val="20"/>
                <w:color w:val="auto"/>
              </w:rPr>
            </w:pPr>
            <w:r>
              <w:rPr>
                <w:rFonts w:ascii="Arial" w:cs="Arial" w:eastAsia="Arial" w:hAnsi="Arial"/>
                <w:sz w:val="18"/>
                <w:szCs w:val="18"/>
                <w:color w:val="auto"/>
              </w:rPr>
              <w:t>Total current liabilities</w:t>
            </w:r>
          </w:p>
        </w:tc>
        <w:tc>
          <w:tcPr>
            <w:tcW w:w="16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170,546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222,996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5"/>
          </w:tcPr>
          <w:p>
            <w:pPr>
              <w:spacing w:after="0"/>
              <w:rPr>
                <w:sz w:val="20"/>
                <w:szCs w:val="20"/>
                <w:color w:val="auto"/>
              </w:rPr>
            </w:pPr>
            <w:r>
              <w:rPr>
                <w:rFonts w:ascii="Arial" w:cs="Arial" w:eastAsia="Arial" w:hAnsi="Arial"/>
                <w:sz w:val="18"/>
                <w:szCs w:val="18"/>
                <w:color w:val="auto"/>
              </w:rPr>
              <w:t>LONG-TERM DEBT, net of current maturities</w:t>
            </w:r>
          </w:p>
        </w:tc>
        <w:tc>
          <w:tcPr>
            <w:tcW w:w="1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82,177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79,607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5"/>
          </w:tcPr>
          <w:p>
            <w:pPr>
              <w:spacing w:after="0"/>
              <w:rPr>
                <w:sz w:val="20"/>
                <w:szCs w:val="20"/>
                <w:color w:val="auto"/>
              </w:rPr>
            </w:pPr>
            <w:r>
              <w:rPr>
                <w:rFonts w:ascii="Arial" w:cs="Arial" w:eastAsia="Arial" w:hAnsi="Arial"/>
                <w:sz w:val="18"/>
                <w:szCs w:val="18"/>
                <w:color w:val="auto"/>
              </w:rPr>
              <w:t>DEFERRED INCOME TAXES, net</w:t>
            </w:r>
          </w:p>
        </w:tc>
        <w:tc>
          <w:tcPr>
            <w:tcW w:w="1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10,912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580" w:type="dxa"/>
            <w:vAlign w:val="bottom"/>
            <w:gridSpan w:val="6"/>
          </w:tcPr>
          <w:p>
            <w:pPr>
              <w:spacing w:after="0"/>
              <w:rPr>
                <w:sz w:val="20"/>
                <w:szCs w:val="20"/>
                <w:color w:val="auto"/>
              </w:rPr>
            </w:pPr>
            <w:r>
              <w:rPr>
                <w:rFonts w:ascii="Arial" w:cs="Arial" w:eastAsia="Arial" w:hAnsi="Arial"/>
                <w:sz w:val="18"/>
                <w:szCs w:val="18"/>
                <w:color w:val="auto"/>
              </w:rPr>
              <w:t>COMMITMENTS AND CONTINGENCIES</w:t>
            </w:r>
          </w:p>
        </w:tc>
        <w:tc>
          <w:tcPr>
            <w:tcW w:w="1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580" w:type="dxa"/>
            <w:vAlign w:val="bottom"/>
            <w:gridSpan w:val="6"/>
          </w:tcPr>
          <w:p>
            <w:pPr>
              <w:spacing w:after="0"/>
              <w:rPr>
                <w:sz w:val="20"/>
                <w:szCs w:val="20"/>
                <w:color w:val="auto"/>
              </w:rPr>
            </w:pPr>
            <w:r>
              <w:rPr>
                <w:rFonts w:ascii="Arial" w:cs="Arial" w:eastAsia="Arial" w:hAnsi="Arial"/>
                <w:sz w:val="18"/>
                <w:szCs w:val="18"/>
                <w:color w:val="auto"/>
              </w:rPr>
              <w:t>SHAREHOLDERS’ EQUITY:</w:t>
            </w:r>
          </w:p>
        </w:tc>
        <w:tc>
          <w:tcPr>
            <w:tcW w:w="1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w w:val="88"/>
              </w:rPr>
              <w:t>Preferred stock, par value $.01 per share; 1,000 shares authorized; 0 shares outstanding in</w:t>
            </w: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6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2001 and 2000</w:t>
            </w: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60" w:type="dxa"/>
            <w:vAlign w:val="bottom"/>
            <w:gridSpan w:val="5"/>
          </w:tcPr>
          <w:p>
            <w:pPr>
              <w:ind w:left="100"/>
              <w:spacing w:after="0"/>
              <w:rPr>
                <w:sz w:val="20"/>
                <w:szCs w:val="20"/>
                <w:color w:val="auto"/>
              </w:rPr>
            </w:pPr>
            <w:r>
              <w:rPr>
                <w:rFonts w:ascii="Arial" w:cs="Arial" w:eastAsia="Arial" w:hAnsi="Arial"/>
                <w:sz w:val="18"/>
                <w:szCs w:val="18"/>
                <w:color w:val="auto"/>
                <w:w w:val="89"/>
              </w:rPr>
              <w:t>Common stock, par value $.01 per share; 25,000,000 shares authorized; 7,002,044 shares</w:t>
            </w: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5"/>
          </w:tcPr>
          <w:p>
            <w:pPr>
              <w:ind w:left="100"/>
              <w:spacing w:after="0"/>
              <w:rPr>
                <w:sz w:val="20"/>
                <w:szCs w:val="20"/>
                <w:color w:val="auto"/>
              </w:rPr>
            </w:pPr>
            <w:r>
              <w:rPr>
                <w:rFonts w:ascii="Arial" w:cs="Arial" w:eastAsia="Arial" w:hAnsi="Arial"/>
                <w:sz w:val="18"/>
                <w:szCs w:val="18"/>
                <w:color w:val="auto"/>
              </w:rPr>
              <w:t>outstanding - 2001 and 2000</w:t>
            </w:r>
          </w:p>
        </w:tc>
        <w:tc>
          <w:tcPr>
            <w:tcW w:w="1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6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60" w:type="dxa"/>
            <w:vAlign w:val="bottom"/>
            <w:gridSpan w:val="5"/>
          </w:tcPr>
          <w:p>
            <w:pPr>
              <w:ind w:left="100"/>
              <w:spacing w:after="0"/>
              <w:rPr>
                <w:sz w:val="20"/>
                <w:szCs w:val="20"/>
                <w:color w:val="auto"/>
              </w:rPr>
            </w:pPr>
            <w:r>
              <w:rPr>
                <w:rFonts w:ascii="Arial" w:cs="Arial" w:eastAsia="Arial" w:hAnsi="Arial"/>
                <w:sz w:val="18"/>
                <w:szCs w:val="18"/>
                <w:color w:val="auto"/>
              </w:rPr>
              <w:t>Retained earnings</w:t>
            </w:r>
          </w:p>
        </w:tc>
        <w:tc>
          <w:tcPr>
            <w:tcW w:w="16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40,568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38,952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gridSpan w:val="5"/>
            <w:shd w:val="clear" w:color="auto" w:fill="CCEEFF"/>
          </w:tcPr>
          <w:p>
            <w:pPr>
              <w:ind w:left="780"/>
              <w:spacing w:after="0"/>
              <w:rPr>
                <w:sz w:val="20"/>
                <w:szCs w:val="20"/>
                <w:color w:val="auto"/>
              </w:rPr>
            </w:pPr>
            <w:r>
              <w:rPr>
                <w:rFonts w:ascii="Arial" w:cs="Arial" w:eastAsia="Arial" w:hAnsi="Arial"/>
                <w:sz w:val="18"/>
                <w:szCs w:val="18"/>
                <w:color w:val="auto"/>
              </w:rPr>
              <w:t>Total shareholders’ equity</w:t>
            </w:r>
          </w:p>
        </w:tc>
        <w:tc>
          <w:tcPr>
            <w:tcW w:w="16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6560" w:type="dxa"/>
            <w:vAlign w:val="bottom"/>
            <w:gridSpan w:val="5"/>
          </w:tcPr>
          <w:p>
            <w:pPr>
              <w:jc w:val="right"/>
              <w:ind w:right="2960"/>
              <w:spacing w:after="0"/>
              <w:rPr>
                <w:sz w:val="20"/>
                <w:szCs w:val="20"/>
                <w:color w:val="auto"/>
              </w:rPr>
            </w:pPr>
            <w:r>
              <w:rPr>
                <w:rFonts w:ascii="Arial" w:cs="Arial" w:eastAsia="Arial" w:hAnsi="Arial"/>
                <w:sz w:val="18"/>
                <w:szCs w:val="18"/>
                <w:color w:val="auto"/>
              </w:rPr>
              <w:t>Total liabilities and shareholders’ equity</w:t>
            </w:r>
          </w:p>
        </w:tc>
        <w:tc>
          <w:tcPr>
            <w:tcW w:w="1660" w:type="dxa"/>
            <w:vAlign w:val="bottom"/>
          </w:tcPr>
          <w:p>
            <w:pPr>
              <w:jc w:val="right"/>
              <w:ind w:right="147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343,428</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390,741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-4387850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-4387850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-4387850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-4387850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88" w:right="23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60" w:type="dxa"/>
            <w:vAlign w:val="bottom"/>
            <w:gridSpan w:val="8"/>
          </w:tcPr>
          <w:p>
            <w:pPr>
              <w:jc w:val="right"/>
              <w:ind w:right="360"/>
              <w:spacing w:after="0"/>
              <w:rPr>
                <w:sz w:val="20"/>
                <w:szCs w:val="20"/>
                <w:color w:val="auto"/>
              </w:rPr>
            </w:pPr>
            <w:r>
              <w:rPr>
                <w:rFonts w:ascii="Arial" w:cs="Arial" w:eastAsia="Arial" w:hAnsi="Arial"/>
                <w:sz w:val="18"/>
                <w:szCs w:val="18"/>
                <w:color w:val="auto"/>
                <w:w w:val="92"/>
              </w:rPr>
              <w:t>CONSOLIDATED STATEMENTS OF INCOME</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gridSpan w:val="6"/>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100" w:type="dxa"/>
            <w:vAlign w:val="bottom"/>
            <w:gridSpan w:val="9"/>
          </w:tcPr>
          <w:p>
            <w:pPr>
              <w:jc w:val="right"/>
              <w:ind w:right="260"/>
              <w:spacing w:after="0"/>
              <w:rPr>
                <w:sz w:val="20"/>
                <w:szCs w:val="20"/>
                <w:color w:val="auto"/>
              </w:rPr>
            </w:pPr>
            <w:r>
              <w:rPr>
                <w:rFonts w:ascii="Arial" w:cs="Arial" w:eastAsia="Arial" w:hAnsi="Arial"/>
                <w:sz w:val="18"/>
                <w:szCs w:val="18"/>
                <w:color w:val="auto"/>
                <w:w w:val="89"/>
              </w:rPr>
              <w:t>(in thousands, except earnings per share - unaudited)</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6"/>
          </w:tcPr>
          <w:p>
            <w:pPr>
              <w:jc w:val="right"/>
              <w:ind w:right="900"/>
              <w:spacing w:after="0"/>
              <w:rPr>
                <w:sz w:val="20"/>
                <w:szCs w:val="20"/>
                <w:color w:val="auto"/>
              </w:rPr>
            </w:pPr>
            <w:r>
              <w:rPr>
                <w:rFonts w:ascii="Arial" w:cs="Arial" w:eastAsia="Arial" w:hAnsi="Arial"/>
                <w:sz w:val="18"/>
                <w:szCs w:val="18"/>
                <w:color w:val="auto"/>
              </w:rPr>
              <w:t>Three months ended</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60" w:type="dxa"/>
            <w:vAlign w:val="bottom"/>
            <w:gridSpan w:val="5"/>
          </w:tcPr>
          <w:p>
            <w:pPr>
              <w:jc w:val="right"/>
              <w:ind w:right="142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gridSpan w:val="3"/>
          </w:tcPr>
          <w:p>
            <w:pPr>
              <w:jc w:val="right"/>
              <w:ind w:right="83"/>
              <w:spacing w:after="0"/>
              <w:rPr>
                <w:sz w:val="20"/>
                <w:szCs w:val="20"/>
                <w:color w:val="auto"/>
              </w:rPr>
            </w:pPr>
            <w:r>
              <w:rPr>
                <w:rFonts w:ascii="Arial" w:cs="Arial" w:eastAsia="Arial" w:hAnsi="Arial"/>
                <w:sz w:val="18"/>
                <w:szCs w:val="18"/>
                <w:color w:val="auto"/>
              </w:rPr>
              <w:t>June 30,</w:t>
            </w: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gridSpan w:val="3"/>
          </w:tcPr>
          <w:p>
            <w:pPr>
              <w:jc w:val="right"/>
              <w:ind w:right="83"/>
              <w:spacing w:after="0"/>
              <w:rPr>
                <w:sz w:val="20"/>
                <w:szCs w:val="20"/>
                <w:color w:val="auto"/>
              </w:rPr>
            </w:pPr>
            <w:r>
              <w:rPr>
                <w:rFonts w:ascii="Arial" w:cs="Arial" w:eastAsia="Arial" w:hAnsi="Arial"/>
                <w:sz w:val="18"/>
                <w:szCs w:val="18"/>
                <w:color w:val="auto"/>
              </w:rPr>
              <w:t>June 30,</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492"/>
              <w:spacing w:after="0"/>
              <w:rPr>
                <w:sz w:val="20"/>
                <w:szCs w:val="20"/>
                <w:color w:val="auto"/>
              </w:rPr>
            </w:pPr>
            <w:r>
              <w:rPr>
                <w:rFonts w:ascii="Arial" w:cs="Arial" w:eastAsia="Arial" w:hAnsi="Arial"/>
                <w:sz w:val="18"/>
                <w:szCs w:val="18"/>
                <w:color w:val="auto"/>
              </w:rPr>
              <w:t>2001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492"/>
              <w:spacing w:after="0"/>
              <w:rPr>
                <w:sz w:val="20"/>
                <w:szCs w:val="20"/>
                <w:color w:val="auto"/>
              </w:rPr>
            </w:pPr>
            <w:r>
              <w:rPr>
                <w:rFonts w:ascii="Arial" w:cs="Arial" w:eastAsia="Arial" w:hAnsi="Arial"/>
                <w:sz w:val="18"/>
                <w:szCs w:val="18"/>
                <w:color w:val="auto"/>
              </w:rPr>
              <w:t>2001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2000</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72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00" w:type="dxa"/>
            <w:vAlign w:val="bottom"/>
          </w:tcPr>
          <w:p>
            <w:pPr>
              <w:ind w:left="100"/>
              <w:spacing w:after="0"/>
              <w:rPr>
                <w:sz w:val="20"/>
                <w:szCs w:val="20"/>
                <w:color w:val="auto"/>
              </w:rPr>
            </w:pPr>
            <w:r>
              <w:rPr>
                <w:rFonts w:ascii="Arial" w:cs="Arial" w:eastAsia="Arial" w:hAnsi="Arial"/>
                <w:sz w:val="18"/>
                <w:szCs w:val="18"/>
                <w:color w:val="auto"/>
              </w:rPr>
              <w:t>New and used truck sales</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110,728</w:t>
            </w:r>
          </w:p>
        </w:tc>
        <w:tc>
          <w:tcPr>
            <w:tcW w:w="80" w:type="dxa"/>
            <w:vAlign w:val="bottom"/>
          </w:tcPr>
          <w:p>
            <w:pPr>
              <w:spacing w:after="0"/>
              <w:rPr>
                <w:sz w:val="21"/>
                <w:szCs w:val="21"/>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166,879</w:t>
            </w:r>
          </w:p>
        </w:tc>
        <w:tc>
          <w:tcPr>
            <w:tcW w:w="60" w:type="dxa"/>
            <w:vAlign w:val="bottom"/>
          </w:tcPr>
          <w:p>
            <w:pPr>
              <w:spacing w:after="0"/>
              <w:rPr>
                <w:sz w:val="21"/>
                <w:szCs w:val="2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236,769</w:t>
            </w:r>
          </w:p>
        </w:tc>
        <w:tc>
          <w:tcPr>
            <w:tcW w:w="80" w:type="dxa"/>
            <w:vAlign w:val="bottom"/>
          </w:tcPr>
          <w:p>
            <w:pPr>
              <w:spacing w:after="0"/>
              <w:rPr>
                <w:sz w:val="21"/>
                <w:szCs w:val="21"/>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300,524</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Parts and service</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44,067</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85,653</w:t>
            </w: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00" w:type="dxa"/>
            <w:vAlign w:val="bottom"/>
          </w:tcPr>
          <w:p>
            <w:pPr>
              <w:ind w:left="100"/>
              <w:spacing w:after="0"/>
              <w:rPr>
                <w:sz w:val="20"/>
                <w:szCs w:val="20"/>
                <w:color w:val="auto"/>
              </w:rPr>
            </w:pPr>
            <w:r>
              <w:rPr>
                <w:rFonts w:ascii="Arial" w:cs="Arial" w:eastAsia="Arial" w:hAnsi="Arial"/>
                <w:sz w:val="18"/>
                <w:szCs w:val="18"/>
                <w:color w:val="auto"/>
              </w:rPr>
              <w:t>Construction equipment sales</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17,989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20,244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31,930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38,411</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and rental</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7,457</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14,351</w:t>
            </w: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00" w:type="dxa"/>
            <w:vAlign w:val="bottom"/>
          </w:tcPr>
          <w:p>
            <w:pPr>
              <w:ind w:left="100"/>
              <w:spacing w:after="0"/>
              <w:rPr>
                <w:sz w:val="20"/>
                <w:szCs w:val="20"/>
                <w:color w:val="auto"/>
              </w:rPr>
            </w:pPr>
            <w:r>
              <w:rPr>
                <w:rFonts w:ascii="Arial" w:cs="Arial" w:eastAsia="Arial" w:hAnsi="Arial"/>
                <w:sz w:val="18"/>
                <w:szCs w:val="18"/>
                <w:color w:val="auto"/>
              </w:rPr>
              <w:t>Finance and insurance</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1,830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5,225</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Retail sales</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7,167</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w:t>
            </w: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00" w:type="dxa"/>
            <w:vAlign w:val="bottom"/>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892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2,277</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372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199,292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248,536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403,864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458,488</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COST OF PRODUCTS SOLD</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161,732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209,044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329,368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382,251</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72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39,492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76,237</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9"/>
              </w:rPr>
              <w:t>SELLING, GENERAL AND ADMINISTRATIVE</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30,219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30,551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60,338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60,017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72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37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4,683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6,682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8,843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11,893</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(3,018)</w:t>
            </w:r>
          </w:p>
        </w:tc>
        <w:tc>
          <w:tcPr>
            <w:tcW w:w="4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(3,793)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(6,920)</w:t>
            </w:r>
          </w:p>
        </w:tc>
        <w:tc>
          <w:tcPr>
            <w:tcW w:w="4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GAIN ON SALE OF ASSETS</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72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1,156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72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gridSpan w:val="2"/>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1,733</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37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00" w:type="dxa"/>
            <w:vAlign w:val="bottom"/>
          </w:tcPr>
          <w:p>
            <w:pPr>
              <w:ind w:left="100"/>
              <w:spacing w:after="0"/>
              <w:rPr>
                <w:sz w:val="20"/>
                <w:szCs w:val="20"/>
                <w:color w:val="auto"/>
              </w:rPr>
            </w:pPr>
            <w:r>
              <w:rPr>
                <w:rFonts w:ascii="Arial" w:cs="Arial" w:eastAsia="Arial" w:hAnsi="Arial"/>
                <w:sz w:val="18"/>
                <w:szCs w:val="18"/>
                <w:color w:val="auto"/>
              </w:rPr>
              <w:t>Diluted</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20"/>
                <w:szCs w:val="20"/>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60" w:type="dxa"/>
            <w:vAlign w:val="bottom"/>
          </w:tcPr>
          <w:p>
            <w:pPr>
              <w:spacing w:after="0"/>
              <w:rPr>
                <w:sz w:val="20"/>
                <w:szCs w:val="20"/>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20"/>
                <w:szCs w:val="20"/>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0.40</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372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72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00" w:type="dxa"/>
            <w:vAlign w:val="bottom"/>
          </w:tcPr>
          <w:p>
            <w:pPr>
              <w:ind w:left="10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7,002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7,002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7,002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7,002</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7,013</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-1403350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-1403350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-1403350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-1403350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-1403350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-1403350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-1403350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-1403350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-786130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-786130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-786130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-786130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-786130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-786130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-786130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-786130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-323215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-323215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-323215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-323215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-323215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-323215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-323215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-323215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CASH FLOWS</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46"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Six months ended</w:t>
      </w:r>
    </w:p>
    <w:p>
      <w:pPr>
        <w:spacing w:after="0" w:line="36"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88265</wp:posOffset>
            </wp:positionV>
            <wp:extent cx="32416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80" w:type="dxa"/>
            <w:vAlign w:val="bottom"/>
          </w:tcPr>
          <w:p>
            <w:pPr>
              <w:spacing w:after="0"/>
              <w:rPr>
                <w:sz w:val="19"/>
                <w:szCs w:val="19"/>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2001</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40" w:type="dxa"/>
            <w:vAlign w:val="bottom"/>
          </w:tcPr>
          <w:p>
            <w:pPr>
              <w:jc w:val="right"/>
              <w:ind w:right="1012"/>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r>
        <w:trPr>
          <w:trHeight w:val="124"/>
        </w:trPr>
        <w:tc>
          <w:tcPr>
            <w:tcW w:w="5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2"/>
        </w:trPr>
        <w:tc>
          <w:tcPr>
            <w:tcW w:w="5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4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2"/>
        </w:trPr>
        <w:tc>
          <w:tcPr>
            <w:tcW w:w="59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940" w:type="dxa"/>
            <w:vAlign w:val="bottom"/>
            <w:gridSpan w:val="2"/>
          </w:tcPr>
          <w:p>
            <w:pPr>
              <w:jc w:val="right"/>
              <w:ind w:right="16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1,616</w:t>
            </w:r>
          </w:p>
        </w:tc>
        <w:tc>
          <w:tcPr>
            <w:tcW w:w="80" w:type="dxa"/>
            <w:vAlign w:val="bottom"/>
          </w:tcPr>
          <w:p>
            <w:pPr>
              <w:spacing w:after="0"/>
              <w:rPr>
                <w:sz w:val="21"/>
                <w:szCs w:val="21"/>
                <w:color w:val="auto"/>
              </w:rPr>
            </w:pPr>
          </w:p>
        </w:tc>
        <w:tc>
          <w:tcPr>
            <w:tcW w:w="580" w:type="dxa"/>
            <w:vAlign w:val="bottom"/>
          </w:tcPr>
          <w:p>
            <w:pPr>
              <w:jc w:val="right"/>
              <w:ind w:right="423"/>
              <w:spacing w:after="0"/>
              <w:rPr>
                <w:sz w:val="20"/>
                <w:szCs w:val="20"/>
                <w:color w:val="auto"/>
              </w:rPr>
            </w:pPr>
            <w:r>
              <w:rPr>
                <w:rFonts w:ascii="Arial" w:cs="Arial" w:eastAsia="Arial" w:hAnsi="Arial"/>
                <w:sz w:val="15"/>
                <w:szCs w:val="15"/>
                <w:color w:val="auto"/>
                <w:w w:val="71"/>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21"/>
                <w:szCs w:val="21"/>
                <w:color w:val="auto"/>
              </w:rPr>
            </w:pPr>
          </w:p>
        </w:tc>
      </w:tr>
      <w:tr>
        <w:trPr>
          <w:trHeight w:val="209"/>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Adjustments to reconcile net income to net cash provided by (used in) operating</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activities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2"/>
        </w:trPr>
        <w:tc>
          <w:tcPr>
            <w:tcW w:w="59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7,890</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6,195</w:t>
            </w:r>
          </w:p>
        </w:tc>
        <w:tc>
          <w:tcPr>
            <w:tcW w:w="100" w:type="dxa"/>
            <w:vAlign w:val="bottom"/>
          </w:tcPr>
          <w:p>
            <w:pPr>
              <w:spacing w:after="0"/>
              <w:rPr>
                <w:sz w:val="21"/>
                <w:szCs w:val="21"/>
                <w:color w:val="auto"/>
              </w:rPr>
            </w:pPr>
          </w:p>
        </w:tc>
      </w:tr>
      <w:tr>
        <w:trPr>
          <w:trHeight w:val="244"/>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2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w:t>
            </w:r>
          </w:p>
        </w:tc>
        <w:tc>
          <w:tcPr>
            <w:tcW w:w="58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r>
      <w:tr>
        <w:trPr>
          <w:trHeight w:val="242"/>
        </w:trPr>
        <w:tc>
          <w:tcPr>
            <w:tcW w:w="5980" w:type="dxa"/>
            <w:vAlign w:val="bottom"/>
          </w:tcPr>
          <w:p>
            <w:pPr>
              <w:ind w:left="340"/>
              <w:spacing w:after="0"/>
              <w:rPr>
                <w:sz w:val="20"/>
                <w:szCs w:val="20"/>
                <w:color w:val="auto"/>
              </w:rPr>
            </w:pPr>
            <w:r>
              <w:rPr>
                <w:rFonts w:ascii="Arial" w:cs="Arial" w:eastAsia="Arial" w:hAnsi="Arial"/>
                <w:sz w:val="18"/>
                <w:szCs w:val="18"/>
                <w:color w:val="auto"/>
              </w:rPr>
              <w:t>Provision for deferred income tax expense</w:t>
            </w: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1,423</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1"/>
                <w:szCs w:val="21"/>
                <w:color w:val="auto"/>
              </w:rPr>
            </w:pPr>
          </w:p>
        </w:tc>
      </w:tr>
      <w:tr>
        <w:trPr>
          <w:trHeight w:val="244"/>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accounts receivable, net</w:t>
            </w:r>
          </w:p>
        </w:tc>
        <w:tc>
          <w:tcPr>
            <w:tcW w:w="2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21"/>
                <w:szCs w:val="21"/>
                <w:color w:val="auto"/>
              </w:rPr>
            </w:pPr>
          </w:p>
        </w:tc>
      </w:tr>
      <w:tr>
        <w:trPr>
          <w:trHeight w:val="242"/>
        </w:trPr>
        <w:tc>
          <w:tcPr>
            <w:tcW w:w="5980" w:type="dxa"/>
            <w:vAlign w:val="bottom"/>
          </w:tcPr>
          <w:p>
            <w:pPr>
              <w:ind w:left="340"/>
              <w:spacing w:after="0"/>
              <w:rPr>
                <w:sz w:val="20"/>
                <w:szCs w:val="20"/>
                <w:color w:val="auto"/>
              </w:rPr>
            </w:pPr>
            <w:r>
              <w:rPr>
                <w:rFonts w:ascii="Arial" w:cs="Arial" w:eastAsia="Arial" w:hAnsi="Arial"/>
                <w:sz w:val="18"/>
                <w:szCs w:val="18"/>
                <w:color w:val="auto"/>
              </w:rPr>
              <w:t>Change in inventories</w:t>
            </w: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44,180</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(3,434)</w:t>
            </w:r>
          </w:p>
        </w:tc>
      </w:tr>
      <w:tr>
        <w:trPr>
          <w:trHeight w:val="244"/>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prepaid expenses and other</w:t>
            </w:r>
          </w:p>
        </w:tc>
        <w:tc>
          <w:tcPr>
            <w:tcW w:w="2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w:t>
            </w:r>
          </w:p>
        </w:tc>
      </w:tr>
    </w:tbl>
    <w:p>
      <w:pPr>
        <w:sectPr>
          <w:pgSz w:w="11900" w:h="16838" w:orient="portrait"/>
          <w:cols w:equalWidth="0" w:num="1">
            <w:col w:w="11420"/>
          </w:cols>
          <w:pgMar w:left="240" w:top="131" w:right="239" w:bottom="0" w:gutter="0" w:footer="0" w:header="0"/>
        </w:sectPr>
      </w:pPr>
    </w:p>
    <w:bookmarkStart w:id="3" w:name="page4"/>
    <w:bookmarkEnd w:id="3"/>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200" w:type="dxa"/>
            <w:vAlign w:val="bottom"/>
          </w:tcPr>
          <w:p>
            <w:pPr>
              <w:ind w:left="320"/>
              <w:spacing w:after="0"/>
              <w:rPr>
                <w:sz w:val="20"/>
                <w:szCs w:val="20"/>
                <w:color w:val="auto"/>
              </w:rPr>
            </w:pPr>
            <w:r>
              <w:rPr>
                <w:rFonts w:ascii="Arial" w:cs="Arial" w:eastAsia="Arial" w:hAnsi="Arial"/>
                <w:sz w:val="18"/>
                <w:szCs w:val="18"/>
                <w:color w:val="auto"/>
              </w:rPr>
              <w:t>Change in trade accounts payable</w:t>
            </w:r>
          </w:p>
        </w:tc>
        <w:tc>
          <w:tcPr>
            <w:tcW w:w="10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(2,133)</w:t>
            </w:r>
          </w:p>
        </w:tc>
        <w:tc>
          <w:tcPr>
            <w:tcW w:w="10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accrued expenses</w:t>
            </w:r>
          </w:p>
        </w:tc>
        <w:tc>
          <w:tcPr>
            <w:tcW w:w="10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(4,115)</w:t>
            </w:r>
          </w:p>
        </w:tc>
        <w:tc>
          <w:tcPr>
            <w:tcW w:w="10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6200" w:type="dxa"/>
            <w:vAlign w:val="bottom"/>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53,226</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10,413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6220" w:type="dxa"/>
            <w:vAlign w:val="bottom"/>
            <w:gridSpan w:val="2"/>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6220" w:type="dxa"/>
            <w:vAlign w:val="bottom"/>
            <w:gridSpan w:val="2"/>
          </w:tcPr>
          <w:p>
            <w:pPr>
              <w:spacing w:after="0"/>
              <w:rPr>
                <w:sz w:val="8"/>
                <w:szCs w:val="8"/>
                <w:color w:val="auto"/>
              </w:rPr>
            </w:pPr>
          </w:p>
        </w:tc>
        <w:tc>
          <w:tcPr>
            <w:tcW w:w="10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00" w:type="dxa"/>
            <w:vAlign w:val="bottom"/>
          </w:tcPr>
          <w:p>
            <w:pPr>
              <w:ind w:left="100"/>
              <w:spacing w:after="0"/>
              <w:rPr>
                <w:sz w:val="20"/>
                <w:szCs w:val="20"/>
                <w:color w:val="auto"/>
              </w:rPr>
            </w:pPr>
            <w:r>
              <w:rPr>
                <w:rFonts w:ascii="Arial" w:cs="Arial" w:eastAsia="Arial" w:hAnsi="Arial"/>
                <w:sz w:val="18"/>
                <w:szCs w:val="18"/>
                <w:color w:val="auto"/>
              </w:rPr>
              <w:t>Acquisition of property and equipment</w:t>
            </w:r>
          </w:p>
        </w:tc>
        <w:tc>
          <w:tcPr>
            <w:tcW w:w="1000" w:type="dxa"/>
            <w:vAlign w:val="bottom"/>
          </w:tcPr>
          <w:p>
            <w:pPr>
              <w:spacing w:after="0"/>
              <w:rPr>
                <w:sz w:val="21"/>
                <w:szCs w:val="21"/>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(8,569)</w:t>
            </w:r>
          </w:p>
        </w:tc>
        <w:tc>
          <w:tcPr>
            <w:tcW w:w="1020" w:type="dxa"/>
            <w:vAlign w:val="bottom"/>
          </w:tcPr>
          <w:p>
            <w:pPr>
              <w:spacing w:after="0"/>
              <w:rPr>
                <w:sz w:val="21"/>
                <w:szCs w:val="21"/>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(20,696)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the sale of property and equipment</w:t>
            </w:r>
          </w:p>
        </w:tc>
        <w:tc>
          <w:tcPr>
            <w:tcW w:w="10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00" w:type="dxa"/>
            <w:vAlign w:val="bottom"/>
          </w:tcPr>
          <w:p>
            <w:pPr>
              <w:ind w:left="100"/>
              <w:spacing w:after="0"/>
              <w:rPr>
                <w:sz w:val="20"/>
                <w:szCs w:val="20"/>
                <w:color w:val="auto"/>
              </w:rPr>
            </w:pPr>
            <w:r>
              <w:rPr>
                <w:rFonts w:ascii="Arial" w:cs="Arial" w:eastAsia="Arial" w:hAnsi="Arial"/>
                <w:sz w:val="18"/>
                <w:szCs w:val="18"/>
                <w:color w:val="auto"/>
              </w:rPr>
              <w:t>Business acquisitions</w:t>
            </w:r>
          </w:p>
        </w:tc>
        <w:tc>
          <w:tcPr>
            <w:tcW w:w="1000" w:type="dxa"/>
            <w:vAlign w:val="bottom"/>
          </w:tcPr>
          <w:p>
            <w:pPr>
              <w:spacing w:after="0"/>
              <w:rPr>
                <w:sz w:val="21"/>
                <w:szCs w:val="21"/>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(531)</w:t>
            </w:r>
          </w:p>
        </w:tc>
        <w:tc>
          <w:tcPr>
            <w:tcW w:w="10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other assets</w:t>
            </w:r>
          </w:p>
        </w:tc>
        <w:tc>
          <w:tcPr>
            <w:tcW w:w="10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10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6200" w:type="dxa"/>
            <w:vAlign w:val="bottom"/>
          </w:tcPr>
          <w:p>
            <w:pPr>
              <w:ind w:left="52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24"/>
                <w:szCs w:val="24"/>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(4,720)</w:t>
            </w:r>
          </w:p>
        </w:tc>
        <w:tc>
          <w:tcPr>
            <w:tcW w:w="1020" w:type="dxa"/>
            <w:vAlign w:val="bottom"/>
          </w:tcPr>
          <w:p>
            <w:pPr>
              <w:spacing w:after="0"/>
              <w:rPr>
                <w:sz w:val="24"/>
                <w:szCs w:val="24"/>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(19,506)</w:t>
            </w:r>
          </w:p>
        </w:tc>
        <w:tc>
          <w:tcPr>
            <w:tcW w:w="0" w:type="dxa"/>
            <w:vAlign w:val="bottom"/>
          </w:tcPr>
          <w:p>
            <w:pPr>
              <w:spacing w:after="0"/>
              <w:rPr>
                <w:sz w:val="1"/>
                <w:szCs w:val="1"/>
                <w:color w:val="auto"/>
              </w:rPr>
            </w:pPr>
          </w:p>
        </w:tc>
      </w:tr>
      <w:tr>
        <w:trPr>
          <w:trHeight w:val="124"/>
        </w:trPr>
        <w:tc>
          <w:tcPr>
            <w:tcW w:w="6220" w:type="dxa"/>
            <w:vAlign w:val="bottom"/>
            <w:gridSpan w:val="2"/>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6220" w:type="dxa"/>
            <w:vAlign w:val="bottom"/>
            <w:gridSpan w:val="2"/>
          </w:tcPr>
          <w:p>
            <w:pPr>
              <w:spacing w:after="0"/>
              <w:rPr>
                <w:sz w:val="8"/>
                <w:szCs w:val="8"/>
                <w:color w:val="auto"/>
              </w:rPr>
            </w:pPr>
          </w:p>
        </w:tc>
        <w:tc>
          <w:tcPr>
            <w:tcW w:w="10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00" w:type="dxa"/>
            <w:vAlign w:val="bottom"/>
          </w:tcPr>
          <w:p>
            <w:pPr>
              <w:ind w:left="100"/>
              <w:spacing w:after="0"/>
              <w:rPr>
                <w:sz w:val="20"/>
                <w:szCs w:val="20"/>
                <w:color w:val="auto"/>
              </w:rPr>
            </w:pPr>
            <w:r>
              <w:rPr>
                <w:rFonts w:ascii="Arial" w:cs="Arial" w:eastAsia="Arial" w:hAnsi="Arial"/>
                <w:sz w:val="18"/>
                <w:szCs w:val="18"/>
                <w:color w:val="auto"/>
              </w:rPr>
              <w:t>Proceeds from long-term debt</w:t>
            </w:r>
          </w:p>
        </w:tc>
        <w:tc>
          <w:tcPr>
            <w:tcW w:w="10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6,320</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21,987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Payments on long-term debt</w:t>
            </w:r>
          </w:p>
        </w:tc>
        <w:tc>
          <w:tcPr>
            <w:tcW w:w="10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(6,018)</w:t>
            </w:r>
          </w:p>
        </w:tc>
        <w:tc>
          <w:tcPr>
            <w:tcW w:w="10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(29,625)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00" w:type="dxa"/>
            <w:vAlign w:val="bottom"/>
          </w:tcPr>
          <w:p>
            <w:pPr>
              <w:ind w:left="100"/>
              <w:spacing w:after="0"/>
              <w:rPr>
                <w:sz w:val="20"/>
                <w:szCs w:val="20"/>
                <w:color w:val="auto"/>
              </w:rPr>
            </w:pPr>
            <w:r>
              <w:rPr>
                <w:rFonts w:ascii="Arial" w:cs="Arial" w:eastAsia="Arial" w:hAnsi="Arial"/>
                <w:sz w:val="18"/>
                <w:szCs w:val="18"/>
                <w:color w:val="auto"/>
              </w:rPr>
              <w:t>Draws on lines of credit, net</w:t>
            </w:r>
          </w:p>
        </w:tc>
        <w:tc>
          <w:tcPr>
            <w:tcW w:w="10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1,995</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12,551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Draws (payments) on floor plan notes payable, net</w:t>
            </w:r>
          </w:p>
        </w:tc>
        <w:tc>
          <w:tcPr>
            <w:tcW w:w="10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(47,033)</w:t>
            </w:r>
          </w:p>
        </w:tc>
        <w:tc>
          <w:tcPr>
            <w:tcW w:w="10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6200" w:type="dxa"/>
            <w:vAlign w:val="bottom"/>
          </w:tcPr>
          <w:p>
            <w:pPr>
              <w:ind w:left="520"/>
              <w:spacing w:after="0"/>
              <w:rPr>
                <w:sz w:val="20"/>
                <w:szCs w:val="20"/>
                <w:color w:val="auto"/>
              </w:rPr>
            </w:pPr>
            <w:r>
              <w:rPr>
                <w:rFonts w:ascii="Arial" w:cs="Arial" w:eastAsia="Arial" w:hAnsi="Arial"/>
                <w:sz w:val="18"/>
                <w:szCs w:val="18"/>
                <w:color w:val="auto"/>
              </w:rPr>
              <w:t>Net cash (used in) provided by financing activities</w:t>
            </w:r>
          </w:p>
        </w:tc>
        <w:tc>
          <w:tcPr>
            <w:tcW w:w="1000" w:type="dxa"/>
            <w:vAlign w:val="bottom"/>
          </w:tcPr>
          <w:p>
            <w:pPr>
              <w:spacing w:after="0"/>
              <w:rPr>
                <w:sz w:val="24"/>
                <w:szCs w:val="24"/>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(44,736)</w:t>
            </w:r>
          </w:p>
        </w:tc>
        <w:tc>
          <w:tcPr>
            <w:tcW w:w="10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6220" w:type="dxa"/>
            <w:vAlign w:val="bottom"/>
            <w:gridSpan w:val="2"/>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18,892</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220" w:type="dxa"/>
            <w:vAlign w:val="bottom"/>
            <w:gridSpan w:val="2"/>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62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22,662</w:t>
            </w:r>
          </w:p>
        </w:tc>
        <w:tc>
          <w:tcPr>
            <w:tcW w:w="80" w:type="dxa"/>
            <w:vAlign w:val="bottom"/>
          </w:tcPr>
          <w:p>
            <w:pPr>
              <w:spacing w:after="0"/>
              <w:rPr>
                <w:sz w:val="24"/>
                <w:szCs w:val="24"/>
                <w:color w:val="auto"/>
              </w:rPr>
            </w:pPr>
          </w:p>
        </w:tc>
        <w:tc>
          <w:tcPr>
            <w:tcW w:w="1020" w:type="dxa"/>
            <w:vAlign w:val="bottom"/>
          </w:tcPr>
          <w:p>
            <w:pPr>
              <w:jc w:val="right"/>
              <w:ind w:right="863"/>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15,450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220" w:type="dxa"/>
            <w:vAlign w:val="bottom"/>
            <w:gridSpan w:val="2"/>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622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00" w:type="dxa"/>
            <w:vAlign w:val="bottom"/>
          </w:tcPr>
          <w:p>
            <w:pPr>
              <w:ind w:left="100"/>
              <w:spacing w:after="0"/>
              <w:rPr>
                <w:sz w:val="20"/>
                <w:szCs w:val="20"/>
                <w:color w:val="auto"/>
              </w:rPr>
            </w:pPr>
            <w:r>
              <w:rPr>
                <w:rFonts w:ascii="Arial" w:cs="Arial" w:eastAsia="Arial" w:hAnsi="Arial"/>
                <w:sz w:val="18"/>
                <w:szCs w:val="18"/>
                <w:color w:val="auto"/>
              </w:rPr>
              <w:t>Cash paid during the period for-</w:t>
            </w:r>
          </w:p>
        </w:tc>
        <w:tc>
          <w:tcPr>
            <w:tcW w:w="10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1000" w:type="dxa"/>
            <w:vAlign w:val="bottom"/>
            <w:shd w:val="clear" w:color="auto" w:fill="CCEEFF"/>
          </w:tcPr>
          <w:p>
            <w:pPr>
              <w:jc w:val="right"/>
              <w:ind w:right="843"/>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20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24"/>
                <w:szCs w:val="24"/>
                <w:color w:val="auto"/>
              </w:rPr>
            </w:pPr>
          </w:p>
        </w:tc>
        <w:tc>
          <w:tcPr>
            <w:tcW w:w="1020" w:type="dxa"/>
            <w:vAlign w:val="bottom"/>
          </w:tcPr>
          <w:p>
            <w:pPr>
              <w:jc w:val="right"/>
              <w:ind w:right="863"/>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-940435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-940435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-940435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-940435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-323215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-323215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-323215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31"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2000. Results of operations for interim periods are not necessarily indicative of results that may be expected for any other interim periods or the full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Commitments and Contingencies</w:t>
      </w:r>
    </w:p>
    <w:p>
      <w:pPr>
        <w:spacing w:after="0" w:line="231"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The Company is contingently liable to certain finance companies for certain promissory notes and finance contracts, related to the sale of trucks and construction equipment, sold to such finance companies. The Company’s recourse liability related to sold finance contracts is limited to 15 to 25 percent of the outstanding balance of each note sold to a finance company, with the aggregate recourse liability, net of interest chargebacks, limited to $1,250,000. In addition, the Company provides an allowance for repossession losses and early repayment penalties.</w:t>
      </w:r>
    </w:p>
    <w:p>
      <w:pPr>
        <w:spacing w:after="0" w:line="167" w:lineRule="exact"/>
        <w:rPr>
          <w:sz w:val="20"/>
          <w:szCs w:val="20"/>
          <w:color w:val="auto"/>
        </w:rPr>
      </w:pPr>
    </w:p>
    <w:p>
      <w:pPr>
        <w:jc w:val="both"/>
        <w:ind w:right="20" w:firstLine="571"/>
        <w:spacing w:after="0" w:line="298"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 has consulting agreements with individuals for an aggregate monthly payment of $35,823. The agreements expire in December 2001.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00" w:type="dxa"/>
            <w:vAlign w:val="bottom"/>
            <w:gridSpan w:val="2"/>
          </w:tcPr>
          <w:p>
            <w:pPr>
              <w:jc w:val="right"/>
              <w:ind w:right="4892"/>
              <w:spacing w:after="0"/>
              <w:rPr>
                <w:sz w:val="20"/>
                <w:szCs w:val="20"/>
                <w:color w:val="auto"/>
              </w:rPr>
            </w:pPr>
            <w:r>
              <w:rPr>
                <w:rFonts w:ascii="Arial" w:cs="Arial" w:eastAsia="Arial" w:hAnsi="Arial"/>
                <w:sz w:val="18"/>
                <w:szCs w:val="18"/>
                <w:b w:val="1"/>
                <w:bCs w:val="1"/>
                <w:color w:val="auto"/>
                <w:w w:val="88"/>
              </w:rPr>
              <w:t>3 - Earnings Per Share</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32"/>
        </w:trPr>
        <w:tc>
          <w:tcPr>
            <w:tcW w:w="6700" w:type="dxa"/>
            <w:vAlign w:val="bottom"/>
            <w:gridSpan w:val="2"/>
          </w:tcPr>
          <w:p>
            <w:pPr>
              <w:jc w:val="right"/>
              <w:spacing w:after="0"/>
              <w:rPr>
                <w:sz w:val="20"/>
                <w:szCs w:val="20"/>
                <w:color w:val="auto"/>
              </w:rPr>
            </w:pPr>
            <w:r>
              <w:rPr>
                <w:rFonts w:ascii="Arial" w:cs="Arial" w:eastAsia="Arial" w:hAnsi="Arial"/>
                <w:sz w:val="18"/>
                <w:szCs w:val="18"/>
                <w:color w:val="auto"/>
                <w:w w:val="97"/>
              </w:rPr>
              <w:t>The following table sets forth the computation of basic and diluted earnings per share:</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59"/>
        </w:trPr>
        <w:tc>
          <w:tcPr>
            <w:tcW w:w="5240" w:type="dxa"/>
            <w:vAlign w:val="bottom"/>
          </w:tcPr>
          <w:p>
            <w:pPr>
              <w:spacing w:after="0"/>
              <w:rPr>
                <w:sz w:val="24"/>
                <w:szCs w:val="24"/>
                <w:color w:val="auto"/>
              </w:rPr>
            </w:pPr>
          </w:p>
        </w:tc>
        <w:tc>
          <w:tcPr>
            <w:tcW w:w="29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Pr>
          <w:p>
            <w:pPr>
              <w:spacing w:after="0"/>
              <w:rPr>
                <w:sz w:val="24"/>
                <w:szCs w:val="24"/>
                <w:color w:val="auto"/>
              </w:rPr>
            </w:pPr>
          </w:p>
        </w:tc>
        <w:tc>
          <w:tcPr>
            <w:tcW w:w="30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Six months ended June 30,</w:t>
            </w:r>
          </w:p>
        </w:tc>
      </w:tr>
      <w:tr>
        <w:trPr>
          <w:trHeight w:val="243"/>
        </w:trPr>
        <w:tc>
          <w:tcPr>
            <w:tcW w:w="670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2001</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2000</w:t>
            </w:r>
          </w:p>
        </w:tc>
        <w:tc>
          <w:tcPr>
            <w:tcW w:w="154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2001</w:t>
            </w:r>
          </w:p>
        </w:tc>
        <w:tc>
          <w:tcPr>
            <w:tcW w:w="15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2000</w:t>
            </w:r>
          </w:p>
        </w:tc>
      </w:tr>
      <w:tr>
        <w:trPr>
          <w:trHeight w:val="97"/>
        </w:trPr>
        <w:tc>
          <w:tcPr>
            <w:tcW w:w="524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r>
    </w:tbl>
    <w:p>
      <w:pPr>
        <w:sectPr>
          <w:pgSz w:w="11900" w:h="16870" w:orient="portrait"/>
          <w:cols w:equalWidth="0" w:num="1">
            <w:col w:w="11420"/>
          </w:cols>
          <w:pgMar w:left="240" w:top="131" w:right="239" w:bottom="0" w:gutter="0" w:footer="0" w:header="0"/>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Net income-numerator for basic and diluted earnings per share</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1,461,000</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1,733,000</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1,616,000</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2,809,000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24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Denominator for basic earnings per share-weighted average shares</w:t>
            </w: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7,002,044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7,002,044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7,002,044</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7,002,044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Effect of dilutive securities:</w:t>
            </w: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 and Director stock options</w:t>
            </w: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22,678</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20" w:type="dxa"/>
            <w:vAlign w:val="bottom"/>
            <w:vMerge w:val="restart"/>
          </w:tcPr>
          <w:p>
            <w:pPr>
              <w:ind w:left="100"/>
              <w:spacing w:after="0"/>
              <w:rPr>
                <w:sz w:val="20"/>
                <w:szCs w:val="20"/>
                <w:color w:val="auto"/>
              </w:rPr>
            </w:pPr>
            <w:r>
              <w:rPr>
                <w:rFonts w:ascii="Arial" w:cs="Arial" w:eastAsia="Arial" w:hAnsi="Arial"/>
                <w:sz w:val="18"/>
                <w:szCs w:val="18"/>
                <w:color w:val="auto"/>
                <w:w w:val="90"/>
              </w:rPr>
              <w:t>Denominator for diluted earnings per share-adjusted weighted average</w:t>
            </w:r>
          </w:p>
        </w:tc>
        <w:tc>
          <w:tcPr>
            <w:tcW w:w="4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shares</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7,037,713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7,013,209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7,024,722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7,040,991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240" w:type="dxa"/>
            <w:vAlign w:val="bottom"/>
            <w:gridSpan w:val="2"/>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104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10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240" w:type="dxa"/>
            <w:vAlign w:val="bottom"/>
            <w:gridSpan w:val="2"/>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24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-597535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-597535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-597535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-597535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-597535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-597535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-597535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-597535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-306070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-306070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-306070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-306070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-306070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-306070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-306070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-306070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Segment Information</w:t>
      </w:r>
    </w:p>
    <w:p>
      <w:pPr>
        <w:spacing w:after="0" w:line="231" w:lineRule="exact"/>
        <w:rPr>
          <w:sz w:val="20"/>
          <w:szCs w:val="20"/>
          <w:color w:val="auto"/>
        </w:rPr>
      </w:pPr>
    </w:p>
    <w:p>
      <w:pPr>
        <w:ind w:right="200" w:firstLine="571"/>
        <w:spacing w:after="0" w:line="298" w:lineRule="auto"/>
        <w:rPr>
          <w:sz w:val="20"/>
          <w:szCs w:val="20"/>
          <w:color w:val="auto"/>
        </w:rPr>
      </w:pPr>
      <w:r>
        <w:rPr>
          <w:rFonts w:ascii="Arial" w:cs="Arial" w:eastAsia="Arial" w:hAnsi="Arial"/>
          <w:sz w:val="16"/>
          <w:szCs w:val="16"/>
          <w:color w:val="auto"/>
        </w:rPr>
        <w:t>The Financial Accounting Standards Board issued Statement of Financial Accounting Standards No. 131 “Disclosures about Segments of an Enterprise and Related Information”. This statement requires that public business enterprises report certain information about operating segments in complete sets of financial statements of the enterprise and in condensed financial statements of interim periods issued to shareholders. It also requires that public business enterprises report certain information about their products and services, the geographic areas in which they operate, and their major customers.</w:t>
      </w:r>
    </w:p>
    <w:p>
      <w:pPr>
        <w:spacing w:after="0" w:line="167"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The Company has three reportable segments: the Heavy-Duty Truck segment, the Construction Equipment segment and the Retail Center segment. The Heavy-duty Truck segment operates a regional network of truck centers that provide an integrated one-stop source for the trucking needs of its customers, including retail sales of new Peterbilt and used heavy-duty trucks, after-market parts, service and body shop facilities, and a wide array of financial services, including the financing of new and used truck purchases, insurance products and truck leasing and rentals. The Construction Equipment segment, operates full-service John Deere dealerships that serve the Houston, Texas Metropolitan and surrounding areas and a majority of the counties in Michigan. Dealership operations include the retail sale of new and used equipment, after-market parts and service facilities, equipment rentals, and the financing of new and used equipment. The Retail Center segment (D&amp;D) operates three farm and ranch retail locations in the San Antonio, Houston and Dallas/Fort Worth, Texas areas, and offers its products through both catalogue and online sales. D&amp;D, a one-stop shopping center for farm and ranch supplies, sells inventory which includes hardware, lawn and garden tools and machines, tack, veterinary supplies, fencing, livestock feed, guards, gates, shoots and trailers, saddles, boots and designer western wear and jewelry as well as many other farm and ranch supplies.</w:t>
      </w:r>
    </w:p>
    <w:p>
      <w:pPr>
        <w:spacing w:after="0" w:line="177" w:lineRule="exact"/>
        <w:rPr>
          <w:sz w:val="20"/>
          <w:szCs w:val="20"/>
          <w:color w:val="auto"/>
        </w:rPr>
      </w:pPr>
    </w:p>
    <w:p>
      <w:pPr>
        <w:ind w:right="420" w:firstLine="571"/>
        <w:spacing w:after="0" w:line="259"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in the Company’s Annual Report on Form 10-K for the year ended December 31, 2000. The Company evaluates performance based on income before income taxes not including extraordinary items.</w:t>
      </w:r>
    </w:p>
    <w:p>
      <w:pPr>
        <w:spacing w:after="0" w:line="194"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The Company accounts for inter-segment sales and transfers as if the sales or transfers were to third parties, that is, at current market prices. There were no material inter-segment sales during the six months ended June 30, 2001 and 2000.</w:t>
      </w:r>
    </w:p>
    <w:p>
      <w:pPr>
        <w:spacing w:after="0" w:line="186" w:lineRule="exact"/>
        <w:rPr>
          <w:sz w:val="20"/>
          <w:szCs w:val="20"/>
          <w:color w:val="auto"/>
        </w:rPr>
      </w:pPr>
    </w:p>
    <w:p>
      <w:pPr>
        <w:ind w:right="320" w:firstLine="571"/>
        <w:spacing w:after="0" w:line="256" w:lineRule="auto"/>
        <w:rPr>
          <w:sz w:val="20"/>
          <w:szCs w:val="20"/>
          <w:color w:val="auto"/>
        </w:rPr>
      </w:pPr>
      <w:r>
        <w:rPr>
          <w:rFonts w:ascii="Arial" w:cs="Arial" w:eastAsia="Arial" w:hAnsi="Arial"/>
          <w:sz w:val="18"/>
          <w:szCs w:val="18"/>
          <w:color w:val="auto"/>
        </w:rPr>
        <w:t>The Company's reportable segments are strategic business units that offer different products and services. They are managed separately because each business requires different technology and marketing strategies. Business units were maintained through expansion and acquisitions. The following table contains summarized information about reportable segment profit or loss and segment assets, for the three and six months ended June 30, 2001 and 2000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Construction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b w:val="1"/>
                <w:bCs w:val="1"/>
                <w:color w:val="auto"/>
              </w:rPr>
              <w:t>Heavy-Duty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Retail Center</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w w:val="86"/>
              </w:rPr>
              <w:t>Truck Segment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Segment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Segment</w:t>
            </w:r>
          </w:p>
        </w:tc>
        <w:tc>
          <w:tcPr>
            <w:tcW w:w="200" w:type="dxa"/>
            <w:vAlign w:val="bottom"/>
          </w:tcPr>
          <w:p>
            <w:pPr>
              <w:spacing w:after="0"/>
              <w:rPr>
                <w:sz w:val="19"/>
                <w:szCs w:val="19"/>
                <w:color w:val="auto"/>
              </w:rPr>
            </w:pPr>
          </w:p>
        </w:tc>
        <w:tc>
          <w:tcPr>
            <w:tcW w:w="1180" w:type="dxa"/>
            <w:vAlign w:val="bottom"/>
          </w:tcPr>
          <w:p>
            <w:pPr>
              <w:jc w:val="right"/>
              <w:ind w:right="252"/>
              <w:spacing w:after="0"/>
              <w:rPr>
                <w:sz w:val="20"/>
                <w:szCs w:val="20"/>
                <w:color w:val="auto"/>
              </w:rPr>
            </w:pPr>
            <w:r>
              <w:rPr>
                <w:rFonts w:ascii="Arial" w:cs="Arial" w:eastAsia="Arial" w:hAnsi="Arial"/>
                <w:sz w:val="18"/>
                <w:szCs w:val="18"/>
                <w:b w:val="1"/>
                <w:bCs w:val="1"/>
                <w:color w:val="auto"/>
              </w:rPr>
              <w:t>All Other</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b w:val="1"/>
                <w:bCs w:val="1"/>
                <w:color w:val="auto"/>
              </w:rPr>
              <w:t>Totals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16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June 30, 2001</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160,855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26,172</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Six months ended June 30, 2001</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333,627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46,519</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(1,301)</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June 30, 2000</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210,450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28,703</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Six months ended June 30, 2000</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387,638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54,622</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(689)</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83"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9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275,216</w:t>
            </w:r>
          </w:p>
        </w:tc>
        <w:tc>
          <w:tcPr>
            <w:tcW w:w="14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70,440</w:t>
            </w:r>
          </w:p>
        </w:tc>
        <w:tc>
          <w:tcPr>
            <w:tcW w:w="14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22,938</w:t>
            </w:r>
          </w:p>
        </w:tc>
        <w:tc>
          <w:tcPr>
            <w:tcW w:w="14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9,415</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378,009</w:t>
            </w:r>
          </w:p>
        </w:tc>
      </w:tr>
    </w:tbl>
    <w:p>
      <w:pPr>
        <w:spacing w:after="0" w:line="208" w:lineRule="exact"/>
        <w:rPr>
          <w:sz w:val="20"/>
          <w:szCs w:val="20"/>
          <w:color w:val="auto"/>
        </w:rPr>
      </w:pPr>
    </w:p>
    <w:p>
      <w:pPr>
        <w:ind w:right="440" w:firstLine="571"/>
        <w:spacing w:after="0" w:line="259" w:lineRule="auto"/>
        <w:rPr>
          <w:sz w:val="20"/>
          <w:szCs w:val="20"/>
          <w:color w:val="auto"/>
        </w:rPr>
      </w:pPr>
      <w:r>
        <w:rPr>
          <w:rFonts w:ascii="Arial" w:cs="Arial" w:eastAsia="Arial" w:hAnsi="Arial"/>
          <w:sz w:val="18"/>
          <w:szCs w:val="18"/>
          <w:color w:val="auto"/>
        </w:rPr>
        <w:t>Revenues from segments below the reportable quantitative thresholds are attributable to three operating segments of the Company. Those segments include a tire company, an insurance company, and a hunting lease operation. None of these segments have ever met any of the quantitative thresholds for determining reportable segments.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Accounting Pronouncements</w:t>
      </w:r>
    </w:p>
    <w:p>
      <w:pPr>
        <w:spacing w:after="0" w:line="231" w:lineRule="exact"/>
        <w:rPr>
          <w:sz w:val="20"/>
          <w:szCs w:val="20"/>
          <w:color w:val="auto"/>
        </w:rPr>
      </w:pPr>
    </w:p>
    <w:p>
      <w:pPr>
        <w:ind w:right="360" w:firstLine="571"/>
        <w:spacing w:after="0" w:line="291" w:lineRule="auto"/>
        <w:rPr>
          <w:sz w:val="20"/>
          <w:szCs w:val="20"/>
          <w:color w:val="auto"/>
        </w:rPr>
      </w:pPr>
      <w:r>
        <w:rPr>
          <w:rFonts w:ascii="Arial" w:cs="Arial" w:eastAsia="Arial" w:hAnsi="Arial"/>
          <w:sz w:val="16"/>
          <w:szCs w:val="16"/>
          <w:color w:val="auto"/>
        </w:rPr>
        <w:t>In June 2001, the Financial Accounting Standards Board (FASB) issued Statement of Financial Accounting Standards No. 141, “Business Combinations.” Statement No. 141 addresses financial accounting and reporting for business combinations and supersedes APB Opinion No. 16, “Business Combinations,” and Statement No. 38, “Accounting for Preacquisition Contingencies of Purchased Enterprises.” All business combinations in the scope of Statement No. 141 are to be accounted for using the purchase method. The provisions of Statement No. 141 apply to all business combinations initiated after June 30, 2001 and applies to all business combinations accounted for using the purchase method for which the date of acquisition is July 1, 2001 or later. We have reviewed the requirements of Statement No. 141 and will implement the Statement effective July 1, 2001.</w:t>
      </w:r>
    </w:p>
    <w:p>
      <w:pPr>
        <w:spacing w:after="0" w:line="174" w:lineRule="exact"/>
        <w:rPr>
          <w:sz w:val="20"/>
          <w:szCs w:val="20"/>
          <w:color w:val="auto"/>
        </w:rPr>
      </w:pPr>
    </w:p>
    <w:p>
      <w:pPr>
        <w:ind w:right="60" w:firstLine="571"/>
        <w:spacing w:after="0" w:line="308" w:lineRule="auto"/>
        <w:rPr>
          <w:sz w:val="20"/>
          <w:szCs w:val="20"/>
          <w:color w:val="auto"/>
        </w:rPr>
      </w:pPr>
      <w:r>
        <w:rPr>
          <w:rFonts w:ascii="Arial" w:cs="Arial" w:eastAsia="Arial" w:hAnsi="Arial"/>
          <w:sz w:val="15"/>
          <w:szCs w:val="15"/>
          <w:color w:val="auto"/>
        </w:rPr>
        <w:t>Also in June 2001, the FASB issued Statement No. 142, “Goodwill and Other Intangible Assets.” Statement No. 142 addresses financial accounting and reporting for acquired goodwill and other intangible assets and supersedes APB Opinion No. 17, “Intangible Assets.” Statement No. 142 addresses how intangible assets that are acquired individually or with a group of other assets (but not those acquired in a business combination) should be accounted for in financial statements upon their acquisition. This Statement also addresses how goodwill and other intangible assets should be accounted for after they have been initially recognized in the financial statements. The provisions of Statement No. 142 are required to be applied starting with fiscal years beginning after December 15, 2001. This Statement is required to be applied at the beginning of an entity’s fiscal year and to be applied to all goodwill and other intangible assets recognized in its financial statements at that date. Impairment losses for goodwill and indefinite-lived intangible assets that arise due to the initial application of Statement No. 142 are to be reported as resulting from a change in accounting principle. We have reviewed the requirements of Statement No. 142 and the impact of adoption effective January 1, 2002 will result in the cessation of goodwill amortization which approximates $1.4 million annually. In addition, we believe that future reported net income may be more volatile because impairment losses related to goodwill could occur irregularly an in varying amounts.</w:t>
      </w:r>
    </w:p>
    <w:p>
      <w:pPr>
        <w:spacing w:after="0" w:line="15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1" w:lineRule="exact"/>
        <w:rPr>
          <w:sz w:val="20"/>
          <w:szCs w:val="20"/>
          <w:color w:val="auto"/>
        </w:rPr>
      </w:pPr>
    </w:p>
    <w:p>
      <w:pPr>
        <w:ind w:right="40" w:firstLine="571"/>
        <w:spacing w:after="0" w:line="286" w:lineRule="auto"/>
        <w:rPr>
          <w:sz w:val="20"/>
          <w:szCs w:val="20"/>
          <w:color w:val="auto"/>
        </w:rPr>
      </w:pPr>
      <w:r>
        <w:rPr>
          <w:rFonts w:ascii="Arial" w:cs="Arial" w:eastAsia="Arial" w:hAnsi="Arial"/>
          <w:sz w:val="16"/>
          <w:szCs w:val="16"/>
          <w:color w:val="auto"/>
        </w:rPr>
        <w:t>Certain statements contained in this Form 10-Q are “forward-looking statements” within the meaning of the Section 27A of the Securities Act of 1933, as amended, and Section 21E of the Exchange Act of 1934, as amended. Specifically, all statements other than statements of historical fact included in this Form</w:t>
      </w:r>
    </w:p>
    <w:p>
      <w:pPr>
        <w:ind w:right="60"/>
        <w:spacing w:after="0" w:line="285" w:lineRule="auto"/>
        <w:rPr>
          <w:sz w:val="20"/>
          <w:szCs w:val="20"/>
          <w:color w:val="auto"/>
        </w:rPr>
      </w:pPr>
      <w:r>
        <w:rPr>
          <w:rFonts w:ascii="Arial" w:cs="Arial" w:eastAsia="Arial" w:hAnsi="Arial"/>
          <w:sz w:val="16"/>
          <w:szCs w:val="16"/>
          <w:color w:val="auto"/>
        </w:rPr>
        <w:t>10-Q regarding the Company’s financial position, business strategy and plans and objectives of management of the Company for future operations are forward-looking statements. These forward-looking statements are based on the beliefs of the Company’s management as well as assumptions made by and information currently available to the Company’s management. When used in this report, the words “anticipate,” “believe,” “estimate,” “expect” and “intend” and words or phrases of similar import, as they relate to the Company or its subsidiaries or Company management, are intended to identify forward-looking statements. Such statements reflect the current view of the Company with respect to future events and are subject to certain risks, uncertainties and assumptions related to certain factors including, without limitation, competitive factors, general economic conditions, cyclicality, economic conditions in the new and used truck and equipment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Registration Statement on Form S-1 (File No. 333-03346) and in the Company’s annual,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herein as anticipated, believed, estimated, expected, or intended. All subsequent written and oral forward-looking statements attributable to the Company or persons acting on its behalf are expressly qualified in their entirety by the applicable cautionary statements. The Company does not intend to update these forward-looking statements.</w:t>
      </w:r>
    </w:p>
    <w:p>
      <w:pPr>
        <w:spacing w:after="0" w:line="17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640" w:firstLine="571"/>
        <w:spacing w:after="0" w:line="268" w:lineRule="auto"/>
        <w:rPr>
          <w:sz w:val="20"/>
          <w:szCs w:val="20"/>
          <w:color w:val="auto"/>
        </w:rPr>
      </w:pPr>
      <w:r>
        <w:rPr>
          <w:rFonts w:ascii="Arial" w:cs="Arial" w:eastAsia="Arial" w:hAnsi="Arial"/>
          <w:sz w:val="18"/>
          <w:szCs w:val="18"/>
          <w:color w:val="auto"/>
        </w:rPr>
        <w:t>Rush Enterprises, Inc. was incorporated in Texas in 1965 and currently consists of three reportable segments: the Heavy Duty Truck segment, the Construction Equipment segment and the Retail Center segment.</w:t>
      </w:r>
    </w:p>
    <w:p>
      <w:pPr>
        <w:spacing w:after="0" w:line="186" w:lineRule="exact"/>
        <w:rPr>
          <w:sz w:val="20"/>
          <w:szCs w:val="20"/>
          <w:color w:val="auto"/>
        </w:rPr>
      </w:pPr>
    </w:p>
    <w:p>
      <w:pPr>
        <w:ind w:firstLine="571"/>
        <w:spacing w:after="0" w:line="312" w:lineRule="auto"/>
        <w:rPr>
          <w:sz w:val="20"/>
          <w:szCs w:val="20"/>
          <w:color w:val="auto"/>
        </w:rPr>
      </w:pPr>
      <w:r>
        <w:rPr>
          <w:rFonts w:ascii="Arial" w:cs="Arial" w:eastAsia="Arial" w:hAnsi="Arial"/>
          <w:sz w:val="15"/>
          <w:szCs w:val="15"/>
          <w:color w:val="auto"/>
        </w:rPr>
        <w:t>The Heavy Duty Truck segment operates a regional network of 38 truck centers that provide an integrated one-stop source for the trucking needs of its customers, including retail sales of new Peterbilt and used heavy-duty trucks; after-market parts, service and body shop facilities; and a wide array of financial services, including the financing of new and used truck purchases, insurance products and truck leasing and rentals. The Company's truck centers are strategically located in high truck traffic areas on or near major highways in Texas, California, Oklahoma, Colorado, Louisiana, Arizona and New Mexico. The Company is the largest Peterbilt truck dealer in the United States, representing approximately 17.8% of all new Peterbilt truck sales in 2000, and is the sole authorized vendor for new Peterbilt trucks and replacement parts in its market areas. The Company was named Peterbilt Dealer of the Year for North America for the 1993-1994 and 2000-2001 years. The criteria used to determine the recipients of this award include, among others, image, customer satisfaction, sales activity and profitability.</w:t>
      </w:r>
    </w:p>
    <w:p>
      <w:pPr>
        <w:spacing w:after="0" w:line="159" w:lineRule="exact"/>
        <w:rPr>
          <w:sz w:val="20"/>
          <w:szCs w:val="20"/>
          <w:color w:val="auto"/>
        </w:rPr>
      </w:pPr>
    </w:p>
    <w:p>
      <w:pPr>
        <w:ind w:right="200" w:firstLine="571"/>
        <w:spacing w:after="0" w:line="289" w:lineRule="auto"/>
        <w:rPr>
          <w:sz w:val="20"/>
          <w:szCs w:val="20"/>
          <w:color w:val="auto"/>
        </w:rPr>
      </w:pPr>
      <w:r>
        <w:rPr>
          <w:rFonts w:ascii="Arial" w:cs="Arial" w:eastAsia="Arial" w:hAnsi="Arial"/>
          <w:sz w:val="16"/>
          <w:szCs w:val="16"/>
          <w:color w:val="auto"/>
        </w:rPr>
        <w:t>Since commencing operations as a John Deere dealer in 1997, the Company has grown to operate seven Rush Equipment Centers located in Texas and Michigan. The Company provides a full line of construction equipment for light to medium sized applications, with the primary products including John Deere backhoe loaders, hydraulic excavators, crawler dozers and four wheel drive loaders. Dealership operations include the retail sale of new and used construction equipment, after-market parts and service facilities, equipment rentals, and the financing of new and used construction equipment. The Company believes the construction equipment industry is highly-fragmented and offers opportunities for consolidation. As a result, the Company’s growth strategy is to realize economies of scale, favorable purchasing power, and cost savings by developing a network of John Deere dealerships through acquisitions and growth inside existing territories. There can be no assurance that, as the Company continues to develop a network of construction equipment dealerships, that it will realize economies of scale, favorable purchasing power or cost savings.</w:t>
      </w:r>
    </w:p>
    <w:p>
      <w:pPr>
        <w:spacing w:after="0" w:line="172" w:lineRule="exact"/>
        <w:rPr>
          <w:sz w:val="20"/>
          <w:szCs w:val="20"/>
          <w:color w:val="auto"/>
        </w:rPr>
      </w:pPr>
    </w:p>
    <w:p>
      <w:pPr>
        <w:jc w:val="both"/>
        <w:ind w:right="240" w:firstLine="571"/>
        <w:spacing w:after="0" w:line="298" w:lineRule="auto"/>
        <w:rPr>
          <w:sz w:val="20"/>
          <w:szCs w:val="20"/>
          <w:color w:val="auto"/>
        </w:rPr>
      </w:pPr>
      <w:r>
        <w:rPr>
          <w:rFonts w:ascii="Arial" w:cs="Arial" w:eastAsia="Arial" w:hAnsi="Arial"/>
          <w:sz w:val="16"/>
          <w:szCs w:val="16"/>
          <w:color w:val="auto"/>
        </w:rPr>
        <w:t>Since acquiring D &amp; D Farm and Ranch Supermarket, Inc. in 1998, the Company has grown to operate three Rush Retail Centers located in the greater San Antonio, Houston and Dallas/Fort Worth, Texas areas, as well as offering its products through both catalogue and online sales. D&amp;D, a one-stop shopping center for farm and ranch supplies, sells inventory which includes hardware, lawn and garden tools and machines, tack, veterinary supplies, fencing, livestock feed, guards, gates, shoots and trailers, saddles, boots and designer western wear and jewelry as well as many other farm and ranch supplies.</w:t>
      </w:r>
    </w:p>
    <w:p>
      <w:pPr>
        <w:sectPr>
          <w:pgSz w:w="11900" w:h="16838" w:orient="portrait"/>
          <w:cols w:equalWidth="0" w:num="1">
            <w:col w:w="11420"/>
          </w:cols>
          <w:pgMar w:left="240" w:top="140" w:right="239" w:bottom="103" w:gutter="0" w:footer="0" w:header="0"/>
        </w:sectPr>
      </w:pPr>
    </w:p>
    <w:bookmarkStart w:id="6" w:name="page7"/>
    <w:bookmarkEnd w:id="6"/>
    <w:p>
      <w:pPr>
        <w:ind w:firstLine="571"/>
        <w:spacing w:after="0" w:line="256" w:lineRule="auto"/>
        <w:rPr>
          <w:sz w:val="20"/>
          <w:szCs w:val="20"/>
          <w:color w:val="auto"/>
        </w:rPr>
      </w:pPr>
      <w:r>
        <w:rPr>
          <w:rFonts w:ascii="Arial" w:cs="Arial" w:eastAsia="Arial" w:hAnsi="Arial"/>
          <w:sz w:val="18"/>
          <w:szCs w:val="18"/>
          <w:color w:val="auto"/>
        </w:rPr>
        <w:t>In September 2000, the Company purchased the assets of Smith Brothers Catalogs, Inc., and its’ online western superstore located at Smithbros.com (collectively “Smithbros”). The acquisition provides Rush with Smith Brothers’ inventory, fixed assets, current list of over 120,000 customers and the technology to offer D&amp;D’s expansive inventory through a catalogue and online sales. Smith Brothers is located on IH 35 in Denton, Texas. The transaction was valued at approximately $2.3 million with the purchase price paid in cash.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discussion and analysis includes the Company’s historical results of operations for the three and six months ended June 30, 2001 and 2000.</w:t>
      </w:r>
    </w:p>
    <w:p>
      <w:pPr>
        <w:spacing w:after="0" w:line="26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for the periods indicated certain financial data as a percentage of total revenues: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600" w:type="dxa"/>
            <w:vAlign w:val="bottom"/>
            <w:gridSpan w:val="3"/>
          </w:tcPr>
          <w:p>
            <w:pPr>
              <w:jc w:val="center"/>
              <w:ind w:left="972"/>
              <w:spacing w:after="0"/>
              <w:rPr>
                <w:sz w:val="20"/>
                <w:szCs w:val="20"/>
                <w:color w:val="auto"/>
              </w:rPr>
            </w:pPr>
            <w:r>
              <w:rPr>
                <w:rFonts w:ascii="Arial" w:cs="Arial" w:eastAsia="Arial" w:hAnsi="Arial"/>
                <w:sz w:val="18"/>
                <w:szCs w:val="18"/>
                <w:b w:val="1"/>
                <w:bCs w:val="1"/>
                <w:color w:val="auto"/>
                <w:w w:val="86"/>
              </w:rPr>
              <w:t>Three months ended</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40" w:type="dxa"/>
            <w:vAlign w:val="bottom"/>
            <w:gridSpan w:val="3"/>
          </w:tcPr>
          <w:p>
            <w:pPr>
              <w:jc w:val="center"/>
              <w:ind w:left="1032"/>
              <w:spacing w:after="0"/>
              <w:rPr>
                <w:sz w:val="20"/>
                <w:szCs w:val="20"/>
                <w:color w:val="auto"/>
              </w:rPr>
            </w:pPr>
            <w:r>
              <w:rPr>
                <w:rFonts w:ascii="Arial" w:cs="Arial" w:eastAsia="Arial" w:hAnsi="Arial"/>
                <w:sz w:val="18"/>
                <w:szCs w:val="18"/>
                <w:b w:val="1"/>
                <w:bCs w:val="1"/>
                <w:color w:val="auto"/>
                <w:w w:val="86"/>
              </w:rPr>
              <w:t>Six months ended</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600" w:type="dxa"/>
            <w:vAlign w:val="bottom"/>
            <w:gridSpan w:val="3"/>
          </w:tcPr>
          <w:p>
            <w:pPr>
              <w:jc w:val="center"/>
              <w:ind w:left="972"/>
              <w:spacing w:after="0"/>
              <w:rPr>
                <w:sz w:val="20"/>
                <w:szCs w:val="20"/>
                <w:color w:val="auto"/>
              </w:rPr>
            </w:pPr>
            <w:r>
              <w:rPr>
                <w:rFonts w:ascii="Arial" w:cs="Arial" w:eastAsia="Arial" w:hAnsi="Arial"/>
                <w:sz w:val="18"/>
                <w:szCs w:val="18"/>
                <w:b w:val="1"/>
                <w:bCs w:val="1"/>
                <w:color w:val="auto"/>
                <w:w w:val="85"/>
              </w:rPr>
              <w:t>June 30,</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40" w:type="dxa"/>
            <w:vAlign w:val="bottom"/>
            <w:gridSpan w:val="3"/>
          </w:tcPr>
          <w:p>
            <w:pPr>
              <w:jc w:val="center"/>
              <w:ind w:left="1032"/>
              <w:spacing w:after="0"/>
              <w:rPr>
                <w:sz w:val="20"/>
                <w:szCs w:val="20"/>
                <w:color w:val="auto"/>
              </w:rPr>
            </w:pPr>
            <w:r>
              <w:rPr>
                <w:rFonts w:ascii="Arial" w:cs="Arial" w:eastAsia="Arial" w:hAnsi="Arial"/>
                <w:sz w:val="18"/>
                <w:szCs w:val="18"/>
                <w:b w:val="1"/>
                <w:bCs w:val="1"/>
                <w:color w:val="auto"/>
                <w:w w:val="85"/>
              </w:rPr>
              <w:t>June 30,</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jc w:val="right"/>
              <w:ind w:right="632"/>
              <w:spacing w:after="0"/>
              <w:rPr>
                <w:sz w:val="20"/>
                <w:szCs w:val="20"/>
                <w:color w:val="auto"/>
              </w:rPr>
            </w:pPr>
            <w:r>
              <w:rPr>
                <w:rFonts w:ascii="Arial" w:cs="Arial" w:eastAsia="Arial" w:hAnsi="Arial"/>
                <w:sz w:val="18"/>
                <w:szCs w:val="18"/>
                <w:b w:val="1"/>
                <w:bCs w:val="1"/>
                <w:color w:val="auto"/>
              </w:rPr>
              <w:t>2001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jc w:val="right"/>
              <w:ind w:right="632"/>
              <w:spacing w:after="0"/>
              <w:rPr>
                <w:sz w:val="20"/>
                <w:szCs w:val="20"/>
                <w:color w:val="auto"/>
              </w:rPr>
            </w:pPr>
            <w:r>
              <w:rPr>
                <w:rFonts w:ascii="Arial" w:cs="Arial" w:eastAsia="Arial" w:hAnsi="Arial"/>
                <w:sz w:val="18"/>
                <w:szCs w:val="18"/>
                <w:b w:val="1"/>
                <w:bCs w:val="1"/>
                <w:color w:val="auto"/>
                <w:w w:val="79"/>
              </w:rPr>
              <w:t>2000</w:t>
            </w:r>
          </w:p>
        </w:tc>
        <w:tc>
          <w:tcPr>
            <w:tcW w:w="120" w:type="dxa"/>
            <w:vAlign w:val="bottom"/>
          </w:tcPr>
          <w:p>
            <w:pPr>
              <w:spacing w:after="0"/>
              <w:rPr>
                <w:sz w:val="24"/>
                <w:szCs w:val="24"/>
                <w:color w:val="auto"/>
              </w:rPr>
            </w:pPr>
          </w:p>
        </w:tc>
        <w:tc>
          <w:tcPr>
            <w:tcW w:w="1780" w:type="dxa"/>
            <w:vAlign w:val="bottom"/>
          </w:tcPr>
          <w:p>
            <w:pPr>
              <w:jc w:val="right"/>
              <w:ind w:right="632"/>
              <w:spacing w:after="0"/>
              <w:rPr>
                <w:sz w:val="20"/>
                <w:szCs w:val="20"/>
                <w:color w:val="auto"/>
              </w:rPr>
            </w:pPr>
            <w:r>
              <w:rPr>
                <w:rFonts w:ascii="Arial" w:cs="Arial" w:eastAsia="Arial" w:hAnsi="Arial"/>
                <w:sz w:val="18"/>
                <w:szCs w:val="18"/>
                <w:b w:val="1"/>
                <w:bCs w:val="1"/>
                <w:color w:val="auto"/>
              </w:rPr>
              <w:t>2001</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jc w:val="right"/>
              <w:ind w:right="632"/>
              <w:spacing w:after="0"/>
              <w:rPr>
                <w:sz w:val="20"/>
                <w:szCs w:val="20"/>
                <w:color w:val="auto"/>
              </w:rPr>
            </w:pPr>
            <w:r>
              <w:rPr>
                <w:rFonts w:ascii="Arial" w:cs="Arial" w:eastAsia="Arial" w:hAnsi="Arial"/>
                <w:sz w:val="18"/>
                <w:szCs w:val="18"/>
                <w:b w:val="1"/>
                <w:bCs w:val="1"/>
                <w:color w:val="auto"/>
                <w:w w:val="99"/>
              </w:rPr>
              <w:t>2000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190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gridSpan w:val="2"/>
          </w:tcPr>
          <w:p>
            <w:pPr>
              <w:spacing w:after="0"/>
              <w:rPr>
                <w:sz w:val="8"/>
                <w:szCs w:val="8"/>
                <w:color w:val="auto"/>
              </w:rPr>
            </w:pPr>
          </w:p>
        </w:tc>
        <w:tc>
          <w:tcPr>
            <w:tcW w:w="1900" w:type="dxa"/>
            <w:vAlign w:val="bottom"/>
            <w:gridSpan w:val="2"/>
          </w:tcPr>
          <w:p>
            <w:pPr>
              <w:spacing w:after="0"/>
              <w:rPr>
                <w:sz w:val="8"/>
                <w:szCs w:val="8"/>
                <w:color w:val="auto"/>
              </w:rPr>
            </w:pPr>
          </w:p>
        </w:tc>
        <w:tc>
          <w:tcPr>
            <w:tcW w:w="640" w:type="dxa"/>
            <w:vAlign w:val="bottom"/>
          </w:tcPr>
          <w:p>
            <w:pPr>
              <w:spacing w:after="0"/>
              <w:rPr>
                <w:sz w:val="8"/>
                <w:szCs w:val="8"/>
                <w:color w:val="auto"/>
              </w:rPr>
            </w:pPr>
          </w:p>
        </w:tc>
        <w:tc>
          <w:tcPr>
            <w:tcW w:w="12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New and used truck sales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7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Parts and service</w:t>
            </w:r>
          </w:p>
        </w:tc>
        <w:tc>
          <w:tcPr>
            <w:tcW w:w="178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Construction equipment sales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Lease and rental</w:t>
            </w:r>
          </w:p>
        </w:tc>
        <w:tc>
          <w:tcPr>
            <w:tcW w:w="17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Retail sales</w:t>
            </w:r>
          </w:p>
        </w:tc>
        <w:tc>
          <w:tcPr>
            <w:tcW w:w="17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Total revenues</w:t>
            </w:r>
          </w:p>
        </w:tc>
        <w:tc>
          <w:tcPr>
            <w:tcW w:w="178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700" w:type="dxa"/>
            <w:vAlign w:val="bottom"/>
            <w:gridSpan w:val="2"/>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37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78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7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700" w:type="dxa"/>
            <w:vAlign w:val="bottom"/>
            <w:gridSpan w:val="2"/>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Interest expense</w:t>
            </w:r>
          </w:p>
        </w:tc>
        <w:tc>
          <w:tcPr>
            <w:tcW w:w="17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700" w:type="dxa"/>
            <w:vAlign w:val="bottom"/>
            <w:gridSpan w:val="2"/>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37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7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700" w:type="dxa"/>
            <w:vAlign w:val="bottom"/>
            <w:gridSpan w:val="2"/>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3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70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64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2001 Compared to Three Months Ended June 30, 2000</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100" w:firstLine="571"/>
        <w:spacing w:after="0" w:line="290" w:lineRule="auto"/>
        <w:rPr>
          <w:sz w:val="20"/>
          <w:szCs w:val="20"/>
          <w:color w:val="auto"/>
        </w:rPr>
      </w:pPr>
      <w:r>
        <w:rPr>
          <w:rFonts w:ascii="Arial" w:cs="Arial" w:eastAsia="Arial" w:hAnsi="Arial"/>
          <w:sz w:val="16"/>
          <w:szCs w:val="16"/>
          <w:color w:val="auto"/>
        </w:rPr>
        <w:t>Revenues decreased by approximately $49.2 million, or 19.8%, from $248.5 million to $199.3 million from the second quarter of 2000 to the second quarter of 2001. Sales of new and used trucks decreased by approximately $56.2 million, or 33.6%, from $166.9 million to $110.7 million from the second quarter of 2000 to the second quarter of 2001. Unit sales of new trucks decreased by 40.2% while the new truck average revenue per unit increased slightly. The decrease in unit sales is due primarily to industry conditions. The industry forecasts a decrease ranging from 40% to 50% in heavy-duty new truck sales in 2001. Unit sales of used trucks decreased 6.1%, and used truck average revenue per unit decreased by 13.1%. Average used truck prices decreased due to an excess supply of used inventory in the market. The Company recognized a $0.9 million loss provision during the first six months of 2001 to increase the Company’s reserve for truck valuation and repossession losses.</w:t>
      </w:r>
    </w:p>
    <w:p>
      <w:pPr>
        <w:spacing w:after="0" w:line="172" w:lineRule="exact"/>
        <w:rPr>
          <w:sz w:val="20"/>
          <w:szCs w:val="20"/>
          <w:color w:val="auto"/>
        </w:rPr>
      </w:pPr>
    </w:p>
    <w:p>
      <w:pPr>
        <w:ind w:right="320" w:firstLine="571"/>
        <w:spacing w:after="0" w:line="268" w:lineRule="auto"/>
        <w:rPr>
          <w:sz w:val="20"/>
          <w:szCs w:val="20"/>
          <w:color w:val="auto"/>
        </w:rPr>
      </w:pPr>
      <w:r>
        <w:rPr>
          <w:rFonts w:ascii="Arial" w:cs="Arial" w:eastAsia="Arial" w:hAnsi="Arial"/>
          <w:sz w:val="18"/>
          <w:szCs w:val="18"/>
          <w:color w:val="auto"/>
        </w:rPr>
        <w:t>Parts and service sales increased by approximately $6.2 million, or 14.1%, from $44.1 million to $50.3 million. The increase was primarily related to same store growth.</w:t>
      </w:r>
    </w:p>
    <w:p>
      <w:pPr>
        <w:spacing w:after="0" w:line="186" w:lineRule="exact"/>
        <w:rPr>
          <w:sz w:val="20"/>
          <w:szCs w:val="20"/>
          <w:color w:val="auto"/>
        </w:rPr>
      </w:pPr>
    </w:p>
    <w:p>
      <w:pPr>
        <w:ind w:right="140" w:firstLine="571"/>
        <w:spacing w:after="0" w:line="306" w:lineRule="auto"/>
        <w:rPr>
          <w:sz w:val="20"/>
          <w:szCs w:val="20"/>
          <w:color w:val="auto"/>
        </w:rPr>
      </w:pPr>
      <w:r>
        <w:rPr>
          <w:rFonts w:ascii="Arial" w:cs="Arial" w:eastAsia="Arial" w:hAnsi="Arial"/>
          <w:sz w:val="16"/>
          <w:szCs w:val="16"/>
          <w:color w:val="auto"/>
        </w:rPr>
        <w:t>Sales of new and used construction equipment decreased approximately $2.2 million or 11.1%, from $20.2 million to $18.0 million from the second quarter of 2000 to the second quarter of 2001. The decrease is primarily due to the construction equipment market declines in Texas and Michigan. Management believes the industry will experience a decrease ranging from 20% to 30% in new construction equipment unit sales during 2001.</w:t>
      </w:r>
    </w:p>
    <w:p>
      <w:pPr>
        <w:spacing w:after="0" w:line="161"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Lease and rental revenues decreased by approximately $0.1 million, or 0.5% from $7.5 million to $7.4 million. Lease and rental revenues related to the truck segment were up approximately $0.7 million while construction equipment segment lease and rental revenues decreased $0.8 million due to the Company’s planned rental fleet reduction in its construction equipment operations.</w:t>
      </w:r>
    </w:p>
    <w:p>
      <w:pPr>
        <w:spacing w:after="0" w:line="194" w:lineRule="exact"/>
        <w:rPr>
          <w:sz w:val="20"/>
          <w:szCs w:val="20"/>
          <w:color w:val="auto"/>
        </w:rPr>
      </w:pPr>
    </w:p>
    <w:p>
      <w:pPr>
        <w:ind w:right="140" w:firstLine="571"/>
        <w:spacing w:after="0" w:line="332" w:lineRule="auto"/>
        <w:rPr>
          <w:sz w:val="20"/>
          <w:szCs w:val="20"/>
          <w:color w:val="auto"/>
        </w:rPr>
      </w:pPr>
      <w:r>
        <w:rPr>
          <w:rFonts w:ascii="Arial" w:cs="Arial" w:eastAsia="Arial" w:hAnsi="Arial"/>
          <w:sz w:val="16"/>
          <w:szCs w:val="16"/>
          <w:color w:val="auto"/>
        </w:rPr>
        <w:t>Finance and insurance revenues decreased by approximately $0.1 million, or 8.9%, from $1.8 million to $1.7 million from the second quarter of 2000 to the second quarter of 2001. Finance and insurance revenues have limited direct costs and, therefore, contribute a disproportionate share of operating profits.</w:t>
      </w:r>
    </w:p>
    <w:p>
      <w:pPr>
        <w:spacing w:after="0" w:line="139" w:lineRule="exact"/>
        <w:rPr>
          <w:sz w:val="20"/>
          <w:szCs w:val="20"/>
          <w:color w:val="auto"/>
        </w:rPr>
      </w:pPr>
    </w:p>
    <w:p>
      <w:pPr>
        <w:ind w:right="520" w:firstLine="571"/>
        <w:spacing w:after="0" w:line="332" w:lineRule="auto"/>
        <w:rPr>
          <w:sz w:val="20"/>
          <w:szCs w:val="20"/>
          <w:color w:val="auto"/>
        </w:rPr>
      </w:pPr>
      <w:r>
        <w:rPr>
          <w:rFonts w:ascii="Arial" w:cs="Arial" w:eastAsia="Arial" w:hAnsi="Arial"/>
          <w:sz w:val="16"/>
          <w:szCs w:val="16"/>
          <w:color w:val="auto"/>
        </w:rPr>
        <w:t>Retail sales increased $3.0 million or 42.9% from $7.2 million to $10.2 million from the second quarter of 2000 to the second quarter of 2001. The increase is primarily due to new stores in Hockley and Denton, Texas, which opened during the second quarter and third quarter of 2000,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Gross profit decreased by approximately $1.9 million, or 4.9%, from $39.5 million to $37.6 million from the second quarter of 2000 to the second quarter of 2001. Gross profit as a percentage of sales increased from 15.9% in the second quarter of 2000 to 18.8% in the second quarter of 2001. This increase is the</w:t>
      </w:r>
    </w:p>
    <w:p>
      <w:pPr>
        <w:sectPr>
          <w:pgSz w:w="11900" w:h="16838" w:orient="portrait"/>
          <w:cols w:equalWidth="0" w:num="1">
            <w:col w:w="11420"/>
          </w:cols>
          <w:pgMar w:left="240" w:top="131" w:right="239" w:bottom="0" w:gutter="0" w:footer="0" w:header="0"/>
        </w:sectPr>
      </w:pPr>
    </w:p>
    <w:bookmarkStart w:id="7" w:name="page8"/>
    <w:bookmarkEnd w:id="7"/>
    <w:p>
      <w:pPr>
        <w:ind w:right="540"/>
        <w:spacing w:after="0" w:line="332" w:lineRule="auto"/>
        <w:rPr>
          <w:sz w:val="20"/>
          <w:szCs w:val="20"/>
          <w:color w:val="auto"/>
        </w:rPr>
      </w:pPr>
      <w:r>
        <w:rPr>
          <w:rFonts w:ascii="Arial" w:cs="Arial" w:eastAsia="Arial" w:hAnsi="Arial"/>
          <w:sz w:val="16"/>
          <w:szCs w:val="16"/>
          <w:color w:val="auto"/>
        </w:rPr>
        <w:t>result of a change in product mix. Increases in parts and service, and retail sales revenues, higher margin revenue categories, grew as a percentage of total revenues, while truck sales revenues, a lower margin revenue category, decreased as a percentage of total revenues.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Selling, general and administrative expenses decreased by approximately $0.4 million, from $30.6 million to $30.2 million, or 1.1%, from the second quarter of 2000 to the second quarter of 2001. Approximately $2.4 million of 2001 SG&amp;A expenses are directly related to new stores and facility expansions made subsequent to or during the second quarter of 2000. SG&amp;A expenses, net of new store openings and facility expansions, decreased $2.7 million or 8.9% from the second quarter of 2000 due to expense reduction actions taken in the latter half of 2000. Selling, general and administrative expenses as a percentage of sales increased from 12.3% to 15.2% from the second quarter of 2000 to the second quarter of 2001.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140" w:firstLine="571"/>
        <w:spacing w:after="0" w:line="370" w:lineRule="auto"/>
        <w:rPr>
          <w:sz w:val="20"/>
          <w:szCs w:val="20"/>
          <w:color w:val="auto"/>
        </w:rPr>
      </w:pPr>
      <w:r>
        <w:rPr>
          <w:rFonts w:ascii="Arial" w:cs="Arial" w:eastAsia="Arial" w:hAnsi="Arial"/>
          <w:sz w:val="15"/>
          <w:szCs w:val="15"/>
          <w:color w:val="auto"/>
        </w:rPr>
        <w:t>Interest expense decreased by approximately $0.8 million or 20.4%, from $3.8 million to $3.0 million, from the second quarter of 2000 to the second quarter of 2001, primarily as the result of decreased levels of floorplan indebtedness coupled with lower interest rates on the Company’s variably financed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Assets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recorded a pretax gain of approximately $0.8 million on the sale of real estate during the second quarter of 2001.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Income before income taxes decreased by $0.5 million, or 15.7%, from $2.9 million to $2.4 million from the second quarter of 2000 to the second quarter of 2001, as a result of the factors described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has provided for taxes at a 40% effective 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2001 Compared to Six Months Ended June 30, 2000</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Revenues decreased by approximately $54.6 million, or 11.9%, from $458.5 million to $403.4 million from the first six months of 2000 to the first six months of 2001. Sales of new and used trucks decreased by approximately $63.7 million, or 21.2%, from $300.5 million to $236.8 million from the first six months of 2000 to the first six months of 2001. Unit sales of new trucks decreased by 20.3% and new truck average revenue per unit increased by 0.9%. The decrease in unit sales is due primarily to industry conditions. The industry forecasts a decrease ranging from 40% to 50% in heavy-duty new truck sales in 2001. Unit sales of used trucks decreased by 9.8% and used truck average revenue per unit decreased by 14.4%. Average used truck prices decreased due to an excess supply of used inventory in the market. The Company recognized a $0.9 million loss provision during the first six months of 2001 to increase the Company’s reserve for truck valuation and repossession losses.</w:t>
      </w:r>
    </w:p>
    <w:p>
      <w:pPr>
        <w:spacing w:after="0" w:line="172"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Parts and service sales increased by approximately $11.5 million, or 13.5%, from $85.7 million to $97.2 million. The increase was primarily related to same store growth.</w:t>
      </w:r>
    </w:p>
    <w:p>
      <w:pPr>
        <w:spacing w:after="0" w:line="186"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Sale of new and used construction equipment decreased approximately $6.5 million, or 16.9% from $38.4 million to $31.9 million from the first six months of 2000 to the first six months of 2001. The decrease is primarily due to the construction equipment market declines in Texas and Michigan. Management believes the industry will experience a decrease ranging from 20% to 30% in new construction equipment unit sales during 2001.</w:t>
      </w:r>
    </w:p>
    <w:p>
      <w:pPr>
        <w:spacing w:after="0" w:line="161" w:lineRule="exact"/>
        <w:rPr>
          <w:sz w:val="20"/>
          <w:szCs w:val="20"/>
          <w:color w:val="auto"/>
        </w:rPr>
      </w:pPr>
    </w:p>
    <w:p>
      <w:pPr>
        <w:jc w:val="both"/>
        <w:ind w:right="20" w:firstLine="571"/>
        <w:spacing w:after="0" w:line="259" w:lineRule="auto"/>
        <w:rPr>
          <w:sz w:val="20"/>
          <w:szCs w:val="20"/>
          <w:color w:val="auto"/>
        </w:rPr>
      </w:pPr>
      <w:r>
        <w:rPr>
          <w:rFonts w:ascii="Arial" w:cs="Arial" w:eastAsia="Arial" w:hAnsi="Arial"/>
          <w:sz w:val="18"/>
          <w:szCs w:val="18"/>
          <w:color w:val="auto"/>
        </w:rPr>
        <w:t>Lease and rental revenues decreased by approximately $0.7 million, or 4.7% from $14.4 million to $13.7 million. Lease and rental revenues related to the truck segment were up approximately $1.1 million while construction equipment segment lease and rental revenues decreased $1.8 million due to the Company’s planned rental fleet reduction in its construction equipment operations.</w:t>
      </w:r>
    </w:p>
    <w:p>
      <w:pPr>
        <w:spacing w:after="0" w:line="194"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Finance and insurance revenues decreased by approximately $2.4 million, or 46.7%, from $5.2 million to $2.8 million from the first six months of 2000 to the first six months of 2001. The decrease is a result of there being proportionately fewer truck deliveries to owner operators, who are the customers most likely to purchase finance and insurance contracts, in comparison to truck deliveries to fleet customers. Finance and insurance revenues have limited direct costs and, therefore, contribute a disproportionate share of operating profits.</w:t>
      </w:r>
    </w:p>
    <w:p>
      <w:pPr>
        <w:spacing w:after="0" w:line="197" w:lineRule="exact"/>
        <w:rPr>
          <w:sz w:val="20"/>
          <w:szCs w:val="20"/>
          <w:color w:val="auto"/>
        </w:rPr>
      </w:pPr>
    </w:p>
    <w:p>
      <w:pPr>
        <w:ind w:right="320" w:firstLine="571"/>
        <w:spacing w:after="0" w:line="332" w:lineRule="auto"/>
        <w:rPr>
          <w:sz w:val="20"/>
          <w:szCs w:val="20"/>
          <w:color w:val="auto"/>
        </w:rPr>
      </w:pPr>
      <w:r>
        <w:rPr>
          <w:rFonts w:ascii="Arial" w:cs="Arial" w:eastAsia="Arial" w:hAnsi="Arial"/>
          <w:sz w:val="16"/>
          <w:szCs w:val="16"/>
          <w:color w:val="auto"/>
        </w:rPr>
        <w:t>Retail sales increased $7.6 million or 63.0% from $12.0 million to $19.6 million from the first six months of 2000 to the first six months of 2001 The increase is primarily due to new stores in Hockley and Denton, Texas, which opened during the second quarter and third quarter of 2000,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Gross profit decreased by approximately $1.7 million, or 2.3%, from $76.2 million to $74.5 million from the first six months of 2000 to the first six months of 2001. Gross profit as a percentage of sales increased from 16.6% in the first six months of 2000 to 18.4% in the first six months of 2001. This increase is the result of a change in product mix. Increases in parts and service, and retail sales revenues, higher margin revenue categories, grew as a percentage of total revenues, while truck sales revenues, a lower margin revenue category, decreased as a percentage of total revenues.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Selling, general and administrative expenses increased by approximately $0.3 million, from $60.0 million to $60.3 million, or 0.5%, from the first six months of 2000 to the first six months of 2001. Approximately $5.4 million of 2001 SG&amp;A expenses are directly related to new stores and facility expansions made subsequent to or during the second quarter of 2000. SG&amp;A expenses, net of new store openings and facility expansions, decreased $5.1 million or 8.5% from the second quarter of 2000 due to expense reduction actions taken in the latter half of 2000. Selling, general and administrative expenses as a percentage of sales increased from 13.1% to 14.9% from the second quarter of 2000 to the second quarter of 2001.</w:t>
      </w:r>
    </w:p>
    <w:p>
      <w:pPr>
        <w:sectPr>
          <w:pgSz w:w="11900" w:h="16838" w:orient="portrait"/>
          <w:cols w:equalWidth="0" w:num="1">
            <w:col w:w="11380"/>
          </w:cols>
          <w:pgMar w:left="240" w:top="131" w:right="27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Interest Expense</w:t>
      </w:r>
    </w:p>
    <w:p>
      <w:pPr>
        <w:sectPr>
          <w:pgSz w:w="11900" w:h="16838" w:orient="portrait"/>
          <w:cols w:equalWidth="0" w:num="1">
            <w:col w:w="11380"/>
          </w:cols>
          <w:pgMar w:left="240" w:top="131" w:right="279" w:bottom="0" w:gutter="0" w:footer="0" w:header="0"/>
          <w:type w:val="continuous"/>
        </w:sectPr>
      </w:pPr>
    </w:p>
    <w:bookmarkStart w:id="8" w:name="page9"/>
    <w:bookmarkEnd w:id="8"/>
    <w:p>
      <w:pPr>
        <w:ind w:right="160" w:firstLine="571"/>
        <w:spacing w:after="0" w:line="370" w:lineRule="auto"/>
        <w:rPr>
          <w:sz w:val="20"/>
          <w:szCs w:val="20"/>
          <w:color w:val="auto"/>
        </w:rPr>
      </w:pPr>
      <w:r>
        <w:rPr>
          <w:rFonts w:ascii="Arial" w:cs="Arial" w:eastAsia="Arial" w:hAnsi="Arial"/>
          <w:sz w:val="15"/>
          <w:szCs w:val="15"/>
          <w:color w:val="auto"/>
        </w:rPr>
        <w:t>Interest expense decreased by approximately $0.3 million from $7.2 million to $6.9 million, or 4.0%, from the first six months of 2000 to the first six months of 2001, primarily as the result of decreased levels of floorplan indebtedness coupled with lower interest rates on the Company’s variably financed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Assets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recorded a pretax gain of approximately $0.8 million on the sale of real estate during the second quarter of 2001.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right="520" w:firstLine="571"/>
        <w:spacing w:after="0" w:line="268" w:lineRule="auto"/>
        <w:rPr>
          <w:sz w:val="20"/>
          <w:szCs w:val="20"/>
          <w:color w:val="auto"/>
        </w:rPr>
      </w:pPr>
      <w:r>
        <w:rPr>
          <w:rFonts w:ascii="Arial" w:cs="Arial" w:eastAsia="Arial" w:hAnsi="Arial"/>
          <w:sz w:val="18"/>
          <w:szCs w:val="18"/>
          <w:color w:val="auto"/>
        </w:rPr>
        <w:t>Income before income taxes decreased by $2.0 million, or 42.5% from $4.7 million to $2.7 million from the first six months of 2000 to the first six months of 2001, as a result of the factors described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has provided for taxes at a 40% effective 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The Company’s short-term cash needs are primarily for working capital, including inventory requirements, expansion of existing facilities and the acquisition of new facilities. The Company currently has no plans to expand its existing facilities or acquire any new facilities. These short-term cash needs have historically been financed with retained earnings and borrowings under credit facilities available to the Company.</w:t>
      </w:r>
    </w:p>
    <w:p>
      <w:pPr>
        <w:spacing w:after="0" w:line="194"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At June 30, 2001, the Company had working capital of approximately $6.7 million, including $22.7 million in cash and cash equivalents, $17.3 million in accounts receivable, $134.5 million in inventories, $1.4 million in prepaid expenses and $1.4 million in deferred income taxes, less $25.4 million of accounts payable and accrued expenses, $44.9 million of current maturities on long-term debt and advances outstanding under lines of credit, and $100.3 million outstanding under floor plan financing. The aggregate maximum borrowing limits under working capital lines of credit with its primary truck lender are approximately $13.5 million. The Company has four separate secured lines-of-credit that provide for an aggregate maximum borrowing of $6 million, $9.0 million, $8.0 million and $3.5 million. Advances outstanding under these secured lines-of-credit were $6.0 million, $6.9 million, $7.5 million and $2.4 million, respectively, leaving $0.0 million, $2.1 million $0.5 million and $1.1 million available for future borrowings as of June 30, 2001.</w:t>
      </w:r>
    </w:p>
    <w:p>
      <w:pPr>
        <w:spacing w:after="0" w:line="172"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For the first six months of 2001, operating activities resulted in net cash provided by operations of approximately $53.2 million. Net income of $1.6 million, decreases in inventory, accounts receivable and other current assets of $44.2 million, $3.1 million and $2.4 million, respectively, coupled with provisions for depreciation, amortization and deferred taxes totaling $9.3 million more than offset decreases in trade accounts payable and accrued expenses totaling $6.3 million and a gain on sale of property and equipment of $1.1 million.</w:t>
      </w:r>
    </w:p>
    <w:p>
      <w:pPr>
        <w:spacing w:after="0" w:line="197" w:lineRule="exact"/>
        <w:rPr>
          <w:sz w:val="20"/>
          <w:szCs w:val="20"/>
          <w:color w:val="auto"/>
        </w:rPr>
      </w:pPr>
    </w:p>
    <w:p>
      <w:pPr>
        <w:jc w:val="both"/>
        <w:ind w:right="100" w:firstLine="571"/>
        <w:spacing w:after="0" w:line="256" w:lineRule="auto"/>
        <w:rPr>
          <w:sz w:val="20"/>
          <w:szCs w:val="20"/>
          <w:color w:val="auto"/>
        </w:rPr>
      </w:pPr>
      <w:r>
        <w:rPr>
          <w:rFonts w:ascii="Arial" w:cs="Arial" w:eastAsia="Arial" w:hAnsi="Arial"/>
          <w:sz w:val="18"/>
          <w:szCs w:val="18"/>
          <w:color w:val="auto"/>
        </w:rPr>
        <w:t>For the first six months of 2000, operating activities resulted in net cash provided by operations of $10.4 million. Net income of $2.8 million, a decrease in accounts receivable of $0.6 million, an increase in trade accounts payable of $6.6 million coupled with provisions for depreciation, amortization and deferred taxes totaling $7.3 million offset an increase in inventories and prepaid expenses and other of $4.0 million, a decrease in accrued expenses of $2.7 million and a gain on sale of property and equipment of $0.2 million.</w:t>
      </w:r>
    </w:p>
    <w:p>
      <w:pPr>
        <w:spacing w:after="0" w:line="197"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During the first six months of 2001, the Company used $4.7 million in investing activities, including fixed asset purchases of $8.6 million, a business acquisition purchase $0.5 million offset by proceeds from the sale of property, and equipment totaling $4.4 million.</w:t>
      </w:r>
    </w:p>
    <w:p>
      <w:pPr>
        <w:spacing w:after="0" w:line="186" w:lineRule="exact"/>
        <w:rPr>
          <w:sz w:val="20"/>
          <w:szCs w:val="20"/>
          <w:color w:val="auto"/>
        </w:rPr>
      </w:pPr>
    </w:p>
    <w:p>
      <w:pPr>
        <w:ind w:right="420" w:firstLine="571"/>
        <w:spacing w:after="0" w:line="332" w:lineRule="auto"/>
        <w:rPr>
          <w:sz w:val="20"/>
          <w:szCs w:val="20"/>
          <w:color w:val="auto"/>
        </w:rPr>
      </w:pPr>
      <w:r>
        <w:rPr>
          <w:rFonts w:ascii="Arial" w:cs="Arial" w:eastAsia="Arial" w:hAnsi="Arial"/>
          <w:sz w:val="16"/>
          <w:szCs w:val="16"/>
          <w:color w:val="auto"/>
        </w:rPr>
        <w:t>During the first six months of 2000, the Company used $19.5 million in investing activities, including purchases of property, plant and equipment of $20.7 million and an increase in other assets of $0.3 million, offset by proceeds from the sale of property, plant and equipment of $1.5 million.</w:t>
      </w:r>
    </w:p>
    <w:p>
      <w:pPr>
        <w:spacing w:after="0" w:line="139"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Net cash used in financing activities in the first three months of 2001 amounted to $44.7 million. Proceeds from additional notes payable of $6.3 million and advances on lines of credit of $2.0 million was more than offset by a decrease in floor plan notes payable of $47.0 million and principal payments on notes payable of $6.0 million.</w:t>
      </w:r>
    </w:p>
    <w:p>
      <w:pPr>
        <w:spacing w:after="0" w:line="194" w:lineRule="exact"/>
        <w:rPr>
          <w:sz w:val="20"/>
          <w:szCs w:val="20"/>
          <w:color w:val="auto"/>
        </w:rPr>
      </w:pPr>
    </w:p>
    <w:p>
      <w:pPr>
        <w:jc w:val="both"/>
        <w:ind w:right="560" w:firstLine="571"/>
        <w:spacing w:after="0" w:line="259" w:lineRule="auto"/>
        <w:rPr>
          <w:sz w:val="20"/>
          <w:szCs w:val="20"/>
          <w:color w:val="auto"/>
        </w:rPr>
      </w:pPr>
      <w:r>
        <w:rPr>
          <w:rFonts w:ascii="Arial" w:cs="Arial" w:eastAsia="Arial" w:hAnsi="Arial"/>
          <w:sz w:val="18"/>
          <w:szCs w:val="18"/>
          <w:color w:val="auto"/>
        </w:rPr>
        <w:t>Net cash generated from financing activities in the first six months of 2000 amounted to $4.5 million. Proceeds from increased notes payable and advances outstanding on lines of credit of $34.5 million more than offset principal payments on notes payable and decreases in floor plan liability of $30.0 million.</w:t>
      </w:r>
    </w:p>
    <w:p>
      <w:pPr>
        <w:spacing w:after="0" w:line="194"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Substantially all of the Company's truck purchases from PACCAR are made on terms requiring payment within 15 days or less from the date of shipment of the trucks from the factory. The Company finances all, or substantially all, of the purchase price of its new truck inventory, and 75% of the loan value of its used truck inventory, under a floor plan arrangement with GMAC under which GMAC pays PACCAR directly with respect to new trucks. The Company makes monthly interest payments on the amount financed but is not required to commence loan principal repayments prior to sale on new vehicles to GMAC for a period of 12 months and for used vehicles for a period of three months. At June 30, 2001, the Company had approximately $61.8 million outstanding under its floor plan financing arrangement with GMAC. GMAC permits the Company to earn, for up to 15.0% of the amount borrowed under its floor plan financing arrangement with GMAC, interest at the prime rate, less 0.95%, on overnight funds deposited by the Company with GMAC.</w:t>
      </w:r>
    </w:p>
    <w:p>
      <w:pPr>
        <w:spacing w:after="0" w:line="172" w:lineRule="exact"/>
        <w:rPr>
          <w:sz w:val="20"/>
          <w:szCs w:val="20"/>
          <w:color w:val="auto"/>
        </w:rPr>
      </w:pPr>
    </w:p>
    <w:p>
      <w:pPr>
        <w:ind w:right="220" w:firstLine="571"/>
        <w:spacing w:after="0" w:line="283" w:lineRule="auto"/>
        <w:rPr>
          <w:sz w:val="20"/>
          <w:szCs w:val="20"/>
          <w:color w:val="auto"/>
        </w:rPr>
      </w:pPr>
      <w:r>
        <w:rPr>
          <w:rFonts w:ascii="Arial" w:cs="Arial" w:eastAsia="Arial" w:hAnsi="Arial"/>
          <w:sz w:val="16"/>
          <w:szCs w:val="16"/>
          <w:color w:val="auto"/>
        </w:rPr>
        <w:t>Substantially all of the Company’s new equipment purchases are financed by John Deere and Associates Commercial Corporation. The Company finances all, or substantially all, of the purchase price of its new equipment inventory, under its floor plan facilities. The agreement with John Deere provides interest free financing for four months after which time the amount financed is required to be paid in full, or an immediate 2.25% discount with payment due in 30 days. When the equipment is sold prior to the expiration of the four month period, the Company is required to repay the principal within approximately 10 days of the sale. Should the equipment financed by John Deere not be sold within the four month period, it is transferred to the John Deere or the Associates</w:t>
      </w:r>
    </w:p>
    <w:p>
      <w:pPr>
        <w:spacing w:after="0" w:line="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Commercial Corporation floor plan arrangements. The Company makes principal payments to Associates Commercial Corporation, for sold inventory, on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each month. Used and rental equipment, to a maximum of book value, is financed under a floor plan arrangement with Associates Commercial Corporation. The Company makes monthly interest payments on the amount financed and is required to commence loan principal repayments on rental</w:t>
      </w:r>
    </w:p>
    <w:p>
      <w:pPr>
        <w:spacing w:after="0" w:line="2"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equipment as book value reduces. Principal payments, for sold used equipment, are made the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each month following the sale. The loans are collateralized by a lien on the equipment. The Company’s floor plan agreements limit the aggregate amount of borrowings based on the book value of new and used equipment units. As of June 30, 2001, the Company’s floor plan arrangement with Associates Commercial Corporation permits the financing of up to $20 million in construction equipment. At June 30, 2001, the Company had $26.7 million and $11.8 million outstanding under its floor plan financing arrangements with John Deere and Associates Commercial Corporation, respectively.</w:t>
      </w:r>
    </w:p>
    <w:p>
      <w:pPr>
        <w:sectPr>
          <w:pgSz w:w="11900" w:h="16838" w:orient="portrait"/>
          <w:cols w:equalWidth="0" w:num="1">
            <w:col w:w="11420"/>
          </w:cols>
          <w:pgMar w:left="240" w:top="131"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Backlogs</w:t>
      </w:r>
    </w:p>
    <w:p>
      <w:pPr>
        <w:spacing w:after="0" w:line="225"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Company enters firm orders into its backlog at the time the order is received. Currently, customer orders are being filled in approximately one month and customers have historically placed orders expecting delivery within three to six months. However, certain customers, including fleets and governments, typically place orders up to one year in advance of their desired delivery date. The Company in the past has typically allowed customers to cancel orders at any time prior to delivery, and the Company’s level of cancellations is affected by general economic conditions, economic recessions and customer business cycles. As a percentage of orders, cancellations historically have ranged from 5% to 12% of annual order volume. The Company’s backlogs as of June 30, 2001 and 2000, were approximately $75 million and $100 million, respectively. Backlogs decreased principally due to the above noted weaker demand for trucks.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The Company’s heavy-duty truck business is moderately seasonal. Seasonal effects on new truck sales related to the seasonal purchasing patterns of any single customer type are mitigated by the Company’s diverse customer base, which includes small and large fleets, governments, corporations and owner operators. However, truck, parts and service operations historically have experienced higher volumes of sales in the second and third quarters. The Company has historically received benefits from volume purchases and meeting vendor sales targets in the form of cash rebates, which are typically recognized when received. Approximately 40% of such rebates are typically received in the fourth quarter, resulting in a seasonal increase in gross profit.</w:t>
      </w:r>
    </w:p>
    <w:p>
      <w:pPr>
        <w:spacing w:after="0" w:line="170"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Seasonal effects in the construction equipment business are primarily driven by the weather. Seasonal effects on construction equipment sales related to the seasonal purchasing patterns of any single customer type are mitigated by the Company's diverse customer base that includes contractors, for both residential and commercial construction, utility companies, federal, state and local government agencies, and various petrochemical, industrial and material supply type businesses that require construction equipment in their daily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The Company's business, as well as the entire retail heavy-duty truck industry, is dependent on a number of factors relating to general economic conditions, including fuel prices, interest rate fluctuations, economic recessions and customer business cycles. In addition, unit sales of new trucks have historically been subject to substantial cyclical variation based on such general economic conditions. According to R.L. Polk, industry-wide domestic retail sales of heavy-duty trucks exceeded 200,000 units for only the fifth time, recording approximately 231,000 new truck registrations in 2000. The industry forecasts a decrease ranging from 40% to 50% in heavy-duty new truck sales in 2001. Although the Company believes that its geographic expansion and diversification into truck-related services, including financial services, leasing, rentals and service and parts, will reduce the overall impact to the Company resulting from general economic conditions affecting heavy-duty truck sales, the Company's operations will continue to be adversely affected by any continuation or renewal of general downward economic pressures or adverse cyclical trends.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25" w:lineRule="exact"/>
        <w:rPr>
          <w:sz w:val="20"/>
          <w:szCs w:val="20"/>
          <w:color w:val="auto"/>
        </w:rPr>
      </w:pPr>
    </w:p>
    <w:p>
      <w:pPr>
        <w:ind w:right="260" w:firstLine="571"/>
        <w:spacing w:after="0" w:line="259" w:lineRule="auto"/>
        <w:rPr>
          <w:sz w:val="20"/>
          <w:szCs w:val="20"/>
          <w:color w:val="auto"/>
        </w:rPr>
      </w:pPr>
      <w:r>
        <w:rPr>
          <w:rFonts w:ascii="Arial" w:cs="Arial" w:eastAsia="Arial" w:hAnsi="Arial"/>
          <w:sz w:val="18"/>
          <w:szCs w:val="18"/>
          <w:color w:val="auto"/>
        </w:rPr>
        <w:t>The Company believes that the relatively moderate inflation over the last few years has not had a significant impact on the Company’s revenue or profitability. The Company does not expect inflation to have any near-term material effect on the sales of its products, although there can be no assurance that such an effect will not occur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86"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The Company is exposed to some market risk through interest rates, related to its floor plan borrowing arrangements, variable rate debt and discount rates related to finance sales. Floor plan borrowings are based on the prime rate of interest and are used to meet working capital needs. As of June 30, 2001, the Company had floor plan borrowings of approximately $100,326,000. Assuming an increase in the prime rate of interest of 100 basis points, interest expense could increase by $1,003,260. The interest rate variability on all other debt would not have a material adverse effect on the Company’s financial statements. The Company provides all customer financing opportunities to various finance providers. The Company receives all finance charges, in excess of a negotiated discount rate, from the finance providers within 30 days. The negotiated discount rate is variable, thus subject to interest rate fluctuations. This interest rate risk is mitigated by the Company’s ability to pass discount rate increases to customers through higher financing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31"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Legal Proceedings</w:t>
      </w:r>
    </w:p>
    <w:p>
      <w:pPr>
        <w:spacing w:after="0" w:line="27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color w:val="auto"/>
        </w:rPr>
        <w:t>Changes in Securities</w:t>
      </w:r>
    </w:p>
    <w:p>
      <w:pPr>
        <w:spacing w:after="0" w:line="27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color w:val="auto"/>
        </w:rPr>
        <w:t>Defaults upon Senior Securities</w:t>
      </w:r>
    </w:p>
    <w:p>
      <w:pPr>
        <w:spacing w:after="0" w:line="27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Submission of Matters to a Vote of Security Holders</w:t>
      </w:r>
    </w:p>
    <w:p>
      <w:pPr>
        <w:spacing w:after="0" w:line="279" w:lineRule="exact"/>
        <w:rPr>
          <w:sz w:val="20"/>
          <w:szCs w:val="20"/>
          <w:color w:val="auto"/>
        </w:rPr>
      </w:pPr>
    </w:p>
    <w:p>
      <w:pPr>
        <w:ind w:left="1860" w:hanging="474"/>
        <w:spacing w:after="0"/>
        <w:tabs>
          <w:tab w:leader="none" w:pos="1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Annual Meeting of Shareholders was held on May 15, 2001.</w:t>
      </w:r>
    </w:p>
    <w:p>
      <w:pPr>
        <w:spacing w:after="0" w:line="279" w:lineRule="exact"/>
        <w:rPr>
          <w:rFonts w:ascii="Arial" w:cs="Arial" w:eastAsia="Arial" w:hAnsi="Arial"/>
          <w:sz w:val="18"/>
          <w:szCs w:val="18"/>
          <w:color w:val="auto"/>
        </w:rPr>
      </w:pPr>
    </w:p>
    <w:p>
      <w:pPr>
        <w:ind w:left="1860" w:right="560" w:hanging="474"/>
        <w:spacing w:after="0" w:line="268" w:lineRule="auto"/>
        <w:tabs>
          <w:tab w:leader="none" w:pos="1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directors were elected to serve until the next Annual Meeting of Shareholders on until their successors have been elected and qualified:</w:t>
      </w:r>
    </w:p>
    <w:p>
      <w:pPr>
        <w:spacing w:after="0" w:line="213" w:lineRule="exact"/>
        <w:rPr>
          <w:sz w:val="20"/>
          <w:szCs w:val="20"/>
          <w:color w:val="auto"/>
        </w:rPr>
      </w:pPr>
    </w:p>
    <w:p>
      <w:pPr>
        <w:ind w:left="2520"/>
        <w:spacing w:after="0"/>
        <w:tabs>
          <w:tab w:leader="none" w:pos="7540" w:val="left"/>
        </w:tabs>
        <w:rPr>
          <w:sz w:val="20"/>
          <w:szCs w:val="20"/>
          <w:color w:val="auto"/>
        </w:rPr>
      </w:pPr>
      <w:r>
        <w:rPr>
          <w:rFonts w:ascii="Arial" w:cs="Arial" w:eastAsia="Arial" w:hAnsi="Arial"/>
          <w:sz w:val="18"/>
          <w:szCs w:val="18"/>
          <w:color w:val="auto"/>
        </w:rPr>
        <w:t>W. Marvin Rush</w:t>
      </w:r>
      <w:r>
        <w:rPr>
          <w:sz w:val="20"/>
          <w:szCs w:val="20"/>
          <w:color w:val="auto"/>
        </w:rPr>
        <w:tab/>
      </w:r>
      <w:r>
        <w:rPr>
          <w:rFonts w:ascii="Arial" w:cs="Arial" w:eastAsia="Arial" w:hAnsi="Arial"/>
          <w:sz w:val="16"/>
          <w:szCs w:val="16"/>
          <w:color w:val="auto"/>
        </w:rPr>
        <w:t>W.M. “Rusty” Rush</w:t>
      </w:r>
    </w:p>
    <w:p>
      <w:pPr>
        <w:sectPr>
          <w:pgSz w:w="11900" w:h="16838" w:orient="portrait"/>
          <w:cols w:equalWidth="0" w:num="1">
            <w:col w:w="11400"/>
          </w:cols>
          <w:pgMar w:left="240" w:top="131" w:right="259" w:bottom="0" w:gutter="0" w:footer="0" w:header="0"/>
        </w:sectPr>
      </w:pPr>
    </w:p>
    <w:bookmarkStart w:id="10" w:name="page11"/>
    <w:bookmarkEnd w:id="10"/>
    <w:p>
      <w:pPr>
        <w:jc w:val="center"/>
        <w:ind w:right="660"/>
        <w:spacing w:after="0"/>
        <w:rPr>
          <w:sz w:val="20"/>
          <w:szCs w:val="20"/>
          <w:color w:val="auto"/>
        </w:rPr>
      </w:pPr>
      <w:r>
        <w:rPr>
          <w:rFonts w:ascii="Arial" w:cs="Arial" w:eastAsia="Arial" w:hAnsi="Arial"/>
          <w:sz w:val="18"/>
          <w:szCs w:val="18"/>
          <w:color w:val="auto"/>
        </w:rPr>
        <w:t>Robin M. Rush</w:t>
      </w:r>
    </w:p>
    <w:p>
      <w:pPr>
        <w:spacing w:after="0" w:line="15" w:lineRule="exact"/>
        <w:rPr>
          <w:sz w:val="20"/>
          <w:szCs w:val="20"/>
          <w:color w:val="auto"/>
        </w:rPr>
      </w:pPr>
    </w:p>
    <w:p>
      <w:pPr>
        <w:jc w:val="center"/>
        <w:ind w:right="660"/>
        <w:spacing w:after="0"/>
        <w:rPr>
          <w:sz w:val="20"/>
          <w:szCs w:val="20"/>
          <w:color w:val="auto"/>
        </w:rPr>
      </w:pPr>
      <w:r>
        <w:rPr>
          <w:rFonts w:ascii="Arial" w:cs="Arial" w:eastAsia="Arial" w:hAnsi="Arial"/>
          <w:sz w:val="15"/>
          <w:szCs w:val="15"/>
          <w:color w:val="auto"/>
        </w:rPr>
        <w:t>Ronald J. Krause</w:t>
      </w:r>
    </w:p>
    <w:p>
      <w:pPr>
        <w:spacing w:after="0" w:line="20" w:lineRule="exact"/>
        <w:rPr>
          <w:sz w:val="20"/>
          <w:szCs w:val="20"/>
          <w:color w:val="auto"/>
        </w:rPr>
      </w:pPr>
      <w:r>
        <w:rPr>
          <w:sz w:val="20"/>
          <w:szCs w:val="20"/>
          <w:color w:val="auto"/>
        </w:rPr>
        <w:br w:type="column"/>
      </w:r>
    </w:p>
    <w:p>
      <w:pPr>
        <w:jc w:val="center"/>
        <w:ind w:right="2360"/>
        <w:spacing w:after="0"/>
        <w:rPr>
          <w:sz w:val="20"/>
          <w:szCs w:val="20"/>
          <w:color w:val="auto"/>
        </w:rPr>
      </w:pPr>
      <w:r>
        <w:rPr>
          <w:rFonts w:ascii="Arial" w:cs="Arial" w:eastAsia="Arial" w:hAnsi="Arial"/>
          <w:sz w:val="16"/>
          <w:szCs w:val="16"/>
          <w:color w:val="auto"/>
        </w:rPr>
        <w:t>Harold D. Marshall</w:t>
      </w:r>
    </w:p>
    <w:p>
      <w:pPr>
        <w:spacing w:after="0" w:line="38" w:lineRule="exact"/>
        <w:rPr>
          <w:sz w:val="20"/>
          <w:szCs w:val="20"/>
          <w:color w:val="auto"/>
        </w:rPr>
      </w:pPr>
    </w:p>
    <w:p>
      <w:pPr>
        <w:jc w:val="center"/>
        <w:ind w:right="2360"/>
        <w:spacing w:after="0"/>
        <w:rPr>
          <w:sz w:val="20"/>
          <w:szCs w:val="20"/>
          <w:color w:val="auto"/>
        </w:rPr>
      </w:pPr>
      <w:r>
        <w:rPr>
          <w:rFonts w:ascii="Arial" w:cs="Arial" w:eastAsia="Arial" w:hAnsi="Arial"/>
          <w:sz w:val="18"/>
          <w:szCs w:val="18"/>
          <w:color w:val="auto"/>
        </w:rPr>
        <w:t>John D. Rock</w:t>
      </w:r>
    </w:p>
    <w:p>
      <w:pPr>
        <w:spacing w:after="0" w:line="200" w:lineRule="exact"/>
        <w:rPr>
          <w:sz w:val="20"/>
          <w:szCs w:val="20"/>
          <w:color w:val="auto"/>
        </w:rPr>
      </w:pPr>
    </w:p>
    <w:p>
      <w:pPr>
        <w:sectPr>
          <w:pgSz w:w="11900" w:h="16838" w:orient="portrait"/>
          <w:cols w:equalWidth="0" w:num="2">
            <w:col w:w="6860" w:space="720"/>
            <w:col w:w="3740"/>
          </w:cols>
          <w:pgMar w:left="240" w:top="131" w:right="339" w:bottom="1440" w:gutter="0" w:footer="0" w:header="0"/>
        </w:sectPr>
      </w:pPr>
    </w:p>
    <w:p>
      <w:pPr>
        <w:spacing w:after="0" w:line="46" w:lineRule="exact"/>
        <w:rPr>
          <w:sz w:val="20"/>
          <w:szCs w:val="20"/>
          <w:color w:val="auto"/>
        </w:rPr>
      </w:pPr>
    </w:p>
    <w:p>
      <w:pPr>
        <w:ind w:left="1860" w:hanging="474"/>
        <w:spacing w:after="0"/>
        <w:tabs>
          <w:tab w:leader="none" w:pos="1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  The director’s in (b) above were elected by the following number of votes:</w:t>
      </w:r>
    </w:p>
    <w:p>
      <w:pPr>
        <w:spacing w:after="0" w:line="27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420" w:type="dxa"/>
            <w:vAlign w:val="bottom"/>
          </w:tcPr>
          <w:p>
            <w:pPr>
              <w:ind w:left="1440"/>
              <w:spacing w:after="0"/>
              <w:rPr>
                <w:sz w:val="20"/>
                <w:szCs w:val="20"/>
                <w:color w:val="auto"/>
              </w:rPr>
            </w:pPr>
            <w:r>
              <w:rPr>
                <w:rFonts w:ascii="Arial" w:cs="Arial" w:eastAsia="Arial" w:hAnsi="Arial"/>
                <w:sz w:val="18"/>
                <w:szCs w:val="18"/>
                <w:color w:val="auto"/>
              </w:rPr>
              <w:t>NAME</w:t>
            </w:r>
          </w:p>
        </w:tc>
        <w:tc>
          <w:tcPr>
            <w:tcW w:w="30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NUMBER OF VOTES</w:t>
            </w:r>
          </w:p>
        </w:tc>
        <w:tc>
          <w:tcPr>
            <w:tcW w:w="66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5"/>
              </w:rPr>
              <w:t>NUMBER OF VOTES WITHHELD</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3100" w:type="dxa"/>
            <w:vAlign w:val="bottom"/>
            <w:gridSpan w:val="2"/>
          </w:tcPr>
          <w:p>
            <w:pPr>
              <w:spacing w:after="0"/>
              <w:rPr>
                <w:sz w:val="8"/>
                <w:szCs w:val="8"/>
                <w:color w:val="auto"/>
              </w:rPr>
            </w:pPr>
          </w:p>
        </w:tc>
        <w:tc>
          <w:tcPr>
            <w:tcW w:w="344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W. Marvin Rush</w:t>
            </w:r>
          </w:p>
        </w:tc>
        <w:tc>
          <w:tcPr>
            <w:tcW w:w="310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7"/>
              </w:rPr>
              <w:t>6,689,592</w:t>
            </w:r>
          </w:p>
        </w:tc>
        <w:tc>
          <w:tcPr>
            <w:tcW w:w="3440" w:type="dxa"/>
            <w:vAlign w:val="bottom"/>
            <w:gridSpan w:val="2"/>
            <w:shd w:val="clear" w:color="auto" w:fill="CCEEFF"/>
          </w:tcPr>
          <w:p>
            <w:pPr>
              <w:jc w:val="center"/>
              <w:ind w:left="572"/>
              <w:spacing w:after="0"/>
              <w:rPr>
                <w:sz w:val="20"/>
                <w:szCs w:val="20"/>
                <w:color w:val="auto"/>
              </w:rPr>
            </w:pPr>
            <w:r>
              <w:rPr>
                <w:rFonts w:ascii="Arial" w:cs="Arial" w:eastAsia="Arial" w:hAnsi="Arial"/>
                <w:sz w:val="18"/>
                <w:szCs w:val="18"/>
                <w:color w:val="auto"/>
                <w:w w:val="90"/>
              </w:rPr>
              <w:t>45,287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W.M. “Rusty” Rush</w:t>
            </w:r>
          </w:p>
        </w:tc>
        <w:tc>
          <w:tcPr>
            <w:tcW w:w="310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6,689,592</w:t>
            </w:r>
          </w:p>
        </w:tc>
        <w:tc>
          <w:tcPr>
            <w:tcW w:w="3440" w:type="dxa"/>
            <w:vAlign w:val="bottom"/>
            <w:gridSpan w:val="2"/>
          </w:tcPr>
          <w:p>
            <w:pPr>
              <w:jc w:val="center"/>
              <w:ind w:left="572"/>
              <w:spacing w:after="0"/>
              <w:rPr>
                <w:sz w:val="20"/>
                <w:szCs w:val="20"/>
                <w:color w:val="auto"/>
              </w:rPr>
            </w:pPr>
            <w:r>
              <w:rPr>
                <w:rFonts w:ascii="Arial" w:cs="Arial" w:eastAsia="Arial" w:hAnsi="Arial"/>
                <w:sz w:val="18"/>
                <w:szCs w:val="18"/>
                <w:color w:val="auto"/>
                <w:w w:val="90"/>
              </w:rPr>
              <w:t>45,287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Robin M. Rush</w:t>
            </w:r>
          </w:p>
        </w:tc>
        <w:tc>
          <w:tcPr>
            <w:tcW w:w="310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7"/>
              </w:rPr>
              <w:t>6,689,592</w:t>
            </w:r>
          </w:p>
        </w:tc>
        <w:tc>
          <w:tcPr>
            <w:tcW w:w="3440" w:type="dxa"/>
            <w:vAlign w:val="bottom"/>
            <w:gridSpan w:val="2"/>
            <w:shd w:val="clear" w:color="auto" w:fill="CCEEFF"/>
          </w:tcPr>
          <w:p>
            <w:pPr>
              <w:jc w:val="center"/>
              <w:ind w:left="572"/>
              <w:spacing w:after="0"/>
              <w:rPr>
                <w:sz w:val="20"/>
                <w:szCs w:val="20"/>
                <w:color w:val="auto"/>
              </w:rPr>
            </w:pPr>
            <w:r>
              <w:rPr>
                <w:rFonts w:ascii="Arial" w:cs="Arial" w:eastAsia="Arial" w:hAnsi="Arial"/>
                <w:sz w:val="18"/>
                <w:szCs w:val="18"/>
                <w:color w:val="auto"/>
                <w:w w:val="90"/>
              </w:rPr>
              <w:t>45,287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Ronald J. Krause</w:t>
            </w:r>
          </w:p>
        </w:tc>
        <w:tc>
          <w:tcPr>
            <w:tcW w:w="310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6,689,592</w:t>
            </w:r>
          </w:p>
        </w:tc>
        <w:tc>
          <w:tcPr>
            <w:tcW w:w="3440" w:type="dxa"/>
            <w:vAlign w:val="bottom"/>
            <w:gridSpan w:val="2"/>
          </w:tcPr>
          <w:p>
            <w:pPr>
              <w:jc w:val="center"/>
              <w:ind w:left="572"/>
              <w:spacing w:after="0"/>
              <w:rPr>
                <w:sz w:val="20"/>
                <w:szCs w:val="20"/>
                <w:color w:val="auto"/>
              </w:rPr>
            </w:pPr>
            <w:r>
              <w:rPr>
                <w:rFonts w:ascii="Arial" w:cs="Arial" w:eastAsia="Arial" w:hAnsi="Arial"/>
                <w:sz w:val="18"/>
                <w:szCs w:val="18"/>
                <w:color w:val="auto"/>
                <w:w w:val="90"/>
              </w:rPr>
              <w:t>45,287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John D. Rock</w:t>
            </w:r>
          </w:p>
        </w:tc>
        <w:tc>
          <w:tcPr>
            <w:tcW w:w="310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7"/>
              </w:rPr>
              <w:t>6,689,592</w:t>
            </w:r>
          </w:p>
        </w:tc>
        <w:tc>
          <w:tcPr>
            <w:tcW w:w="3440" w:type="dxa"/>
            <w:vAlign w:val="bottom"/>
            <w:gridSpan w:val="2"/>
            <w:shd w:val="clear" w:color="auto" w:fill="CCEEFF"/>
          </w:tcPr>
          <w:p>
            <w:pPr>
              <w:jc w:val="center"/>
              <w:ind w:left="572"/>
              <w:spacing w:after="0"/>
              <w:rPr>
                <w:sz w:val="20"/>
                <w:szCs w:val="20"/>
                <w:color w:val="auto"/>
              </w:rPr>
            </w:pPr>
            <w:r>
              <w:rPr>
                <w:rFonts w:ascii="Arial" w:cs="Arial" w:eastAsia="Arial" w:hAnsi="Arial"/>
                <w:sz w:val="18"/>
                <w:szCs w:val="18"/>
                <w:color w:val="auto"/>
                <w:w w:val="90"/>
              </w:rPr>
              <w:t>45,287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Harold D. Marshall</w:t>
            </w:r>
          </w:p>
        </w:tc>
        <w:tc>
          <w:tcPr>
            <w:tcW w:w="310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6,689,592</w:t>
            </w:r>
          </w:p>
        </w:tc>
        <w:tc>
          <w:tcPr>
            <w:tcW w:w="3440" w:type="dxa"/>
            <w:vAlign w:val="bottom"/>
            <w:gridSpan w:val="2"/>
          </w:tcPr>
          <w:p>
            <w:pPr>
              <w:jc w:val="center"/>
              <w:ind w:left="572"/>
              <w:spacing w:after="0"/>
              <w:rPr>
                <w:sz w:val="20"/>
                <w:szCs w:val="20"/>
                <w:color w:val="auto"/>
              </w:rPr>
            </w:pPr>
            <w:r>
              <w:rPr>
                <w:rFonts w:ascii="Arial" w:cs="Arial" w:eastAsia="Arial" w:hAnsi="Arial"/>
                <w:sz w:val="18"/>
                <w:szCs w:val="18"/>
                <w:color w:val="auto"/>
                <w:w w:val="90"/>
              </w:rPr>
              <w:t>45,287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200" w:right="580" w:hanging="342"/>
        <w:spacing w:after="0" w:line="306" w:lineRule="auto"/>
        <w:tabs>
          <w:tab w:leader="none" w:pos="2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Of the 6,734,879 number of shares of Common Stock voting at the meeting, 6,733,819 shares voted for the ratification of the appointment of the firm Arthur Andersen LLP as the Company’s independent accountants for 2001. The number of shares that voted against the ratification was 0 and the holders of 1,060 shares abstained from the voting.</w:t>
      </w:r>
    </w:p>
    <w:p>
      <w:pPr>
        <w:spacing w:after="0" w:line="188"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pacing w:after="0" w:line="25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Exhibits and Reports on Form 8-K</w:t>
      </w:r>
    </w:p>
    <w:p>
      <w:pPr>
        <w:spacing w:after="0" w:line="252" w:lineRule="exact"/>
        <w:rPr>
          <w:sz w:val="20"/>
          <w:szCs w:val="20"/>
          <w:color w:val="auto"/>
        </w:rPr>
      </w:pPr>
    </w:p>
    <w:p>
      <w:pPr>
        <w:ind w:left="1860" w:hanging="474"/>
        <w:spacing w:after="0"/>
        <w:tabs>
          <w:tab w:leader="none" w:pos="1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None</w:t>
      </w:r>
    </w:p>
    <w:p>
      <w:pPr>
        <w:spacing w:after="0" w:line="3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w:t>
      </w:r>
    </w:p>
    <w:p>
      <w:pPr>
        <w:spacing w:after="0" w:line="36"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Reports on Form 8-K</w:t>
      </w:r>
    </w:p>
    <w:p>
      <w:pPr>
        <w:spacing w:after="0" w:line="27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RUSH ENTERPRISES, INC.</w:t>
      </w:r>
    </w:p>
    <w:p>
      <w:pPr>
        <w:spacing w:after="0" w:line="279" w:lineRule="exact"/>
        <w:rPr>
          <w:sz w:val="20"/>
          <w:szCs w:val="20"/>
          <w:color w:val="auto"/>
        </w:rPr>
      </w:pPr>
    </w:p>
    <w:p>
      <w:pPr>
        <w:spacing w:after="0"/>
        <w:tabs>
          <w:tab w:leader="none" w:pos="560" w:val="left"/>
          <w:tab w:leader="none" w:pos="5680" w:val="left"/>
          <w:tab w:leader="none" w:pos="6260" w:val="left"/>
        </w:tabs>
        <w:rPr>
          <w:sz w:val="20"/>
          <w:szCs w:val="20"/>
          <w:color w:val="auto"/>
        </w:rPr>
      </w:pPr>
      <w:r>
        <w:rPr>
          <w:rFonts w:ascii="Arial" w:cs="Arial" w:eastAsia="Arial" w:hAnsi="Arial"/>
          <w:sz w:val="18"/>
          <w:szCs w:val="18"/>
          <w:color w:val="auto"/>
        </w:rPr>
        <w:t>Date:</w:t>
        <w:tab/>
        <w:t>August 13, 2001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 MARVIN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80010</wp:posOffset>
            </wp:positionV>
            <wp:extent cx="32848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W. Marvin Rush</w:t>
      </w:r>
    </w:p>
    <w:p>
      <w:pPr>
        <w:spacing w:after="0" w:line="36" w:lineRule="exact"/>
        <w:rPr>
          <w:sz w:val="20"/>
          <w:szCs w:val="20"/>
          <w:color w:val="auto"/>
        </w:rPr>
      </w:pPr>
    </w:p>
    <w:p>
      <w:pPr>
        <w:ind w:left="5700"/>
        <w:spacing w:after="0"/>
        <w:tabs>
          <w:tab w:leader="none" w:pos="6260" w:val="left"/>
        </w:tabs>
        <w:rPr>
          <w:sz w:val="20"/>
          <w:szCs w:val="20"/>
          <w:color w:val="auto"/>
        </w:rPr>
      </w:pPr>
      <w:r>
        <w:rPr>
          <w:rFonts w:ascii="Arial" w:cs="Arial" w:eastAsia="Arial" w:hAnsi="Arial"/>
          <w:sz w:val="18"/>
          <w:szCs w:val="18"/>
          <w:color w:val="auto"/>
        </w:rPr>
        <w:t>Title:</w:t>
        <w:tab/>
        <w:t>Chairman and Chief Executive Officer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spacing w:after="0"/>
        <w:tabs>
          <w:tab w:leader="none" w:pos="560" w:val="left"/>
          <w:tab w:leader="none" w:pos="5680" w:val="left"/>
          <w:tab w:leader="none" w:pos="6260" w:val="left"/>
        </w:tabs>
        <w:rPr>
          <w:sz w:val="20"/>
          <w:szCs w:val="20"/>
          <w:color w:val="auto"/>
        </w:rPr>
      </w:pPr>
      <w:r>
        <w:rPr>
          <w:rFonts w:ascii="Arial" w:cs="Arial" w:eastAsia="Arial" w:hAnsi="Arial"/>
          <w:sz w:val="18"/>
          <w:szCs w:val="18"/>
          <w:color w:val="auto"/>
        </w:rPr>
        <w:t>Date:</w:t>
        <w:tab/>
        <w:t>August 13, 2001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MARTIN A. NAEGELIN,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80010</wp:posOffset>
            </wp:positionV>
            <wp:extent cx="32848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Martin A. Naegelin, Jr.</w:t>
      </w:r>
    </w:p>
    <w:p>
      <w:pPr>
        <w:spacing w:after="0" w:line="36" w:lineRule="exact"/>
        <w:rPr>
          <w:sz w:val="20"/>
          <w:szCs w:val="20"/>
          <w:color w:val="auto"/>
        </w:rPr>
      </w:pPr>
    </w:p>
    <w:p>
      <w:pPr>
        <w:ind w:left="5700"/>
        <w:spacing w:after="0"/>
        <w:tabs>
          <w:tab w:leader="none" w:pos="6260" w:val="left"/>
        </w:tabs>
        <w:rPr>
          <w:sz w:val="20"/>
          <w:szCs w:val="20"/>
          <w:color w:val="auto"/>
        </w:rPr>
      </w:pPr>
      <w:r>
        <w:rPr>
          <w:rFonts w:ascii="Arial" w:cs="Arial" w:eastAsia="Arial" w:hAnsi="Arial"/>
          <w:sz w:val="18"/>
          <w:szCs w:val="18"/>
          <w:color w:val="auto"/>
        </w:rPr>
        <w:t>Title:</w:t>
        <w:tab/>
        <w:t>Vice President and Chief Financial Officer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320"/>
      </w:cols>
      <w:pgMar w:left="240" w:top="13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2019-12-14T08:24:02Z</dcterms:created>
  <dcterms:modified xsi:type="dcterms:W3CDTF">2019-12-14T08:24:02Z</dcterms:modified>
</cp:coreProperties>
</file>