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5077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077460"/>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Pollard Jody</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555 IH 35 SOUTH, SUITE 500</w:t>
      </w:r>
    </w:p>
    <w:p>
      <w:pPr>
        <w:spacing w:after="0" w:line="33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1" w:lineRule="exact"/>
        <w:rPr>
          <w:sz w:val="24"/>
          <w:szCs w:val="24"/>
          <w:color w:val="auto"/>
        </w:rPr>
      </w:pPr>
    </w:p>
    <w:p>
      <w:pPr>
        <w:ind w:left="120" w:right="140"/>
        <w:spacing w:after="0"/>
        <w:rPr>
          <w:sz w:val="20"/>
          <w:szCs w:val="20"/>
          <w:color w:val="auto"/>
        </w:rPr>
      </w:pPr>
      <w:r>
        <w:rPr>
          <w:rFonts w:ascii="Times New Roman" w:cs="Times New Roman" w:eastAsia="Times New Roman" w:hAnsi="Times New Roman"/>
          <w:sz w:val="33"/>
          <w:szCs w:val="33"/>
          <w:color w:val="0000FF"/>
          <w:vertAlign w:val="superscript"/>
        </w:rPr>
        <w:t>NEW</w:t>
      </w:r>
      <w:r>
        <w:rPr>
          <w:rFonts w:ascii="Times New Roman" w:cs="Times New Roman" w:eastAsia="Times New Roman" w:hAnsi="Times New Roman"/>
          <w:sz w:val="17"/>
          <w:szCs w:val="17"/>
          <w:color w:val="0000FF"/>
        </w:rPr>
        <w:t xml:space="preserve"> TX 78130 BRAUNFELS</w:t>
      </w:r>
    </w:p>
    <w:p>
      <w:pPr>
        <w:spacing w:after="0" w:line="34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3760" w:type="dxa"/>
            <w:vAlign w:val="bottom"/>
            <w:gridSpan w:val="3"/>
          </w:tcPr>
          <w:p>
            <w:pPr>
              <w:spacing w:after="0" w:line="206"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RUSH ENTERPRISES INC \TX\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RUSHA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660" w:type="dxa"/>
            <w:vAlign w:val="bottom"/>
            <w:tcBorders>
              <w:top w:val="single" w:sz="8" w:color="0000EE"/>
            </w:tcBorders>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ind w:left="400"/>
              <w:spacing w:after="0" w:line="143"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3"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4"/>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6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1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3100" w:type="dxa"/>
            <w:vAlign w:val="bottom"/>
            <w:gridSpan w:val="2"/>
            <w:vMerge w:val="restart"/>
          </w:tcPr>
          <w:p>
            <w:pPr>
              <w:ind w:left="740"/>
              <w:spacing w:after="0"/>
              <w:rPr>
                <w:sz w:val="20"/>
                <w:szCs w:val="20"/>
                <w:color w:val="auto"/>
              </w:rPr>
            </w:pPr>
            <w:r>
              <w:rPr>
                <w:rFonts w:ascii="Times New Roman" w:cs="Times New Roman" w:eastAsia="Times New Roman" w:hAnsi="Times New Roman"/>
                <w:sz w:val="17"/>
                <w:szCs w:val="17"/>
                <w:color w:val="0000FF"/>
              </w:rPr>
              <w:t>Senior Vice President</w:t>
            </w:r>
          </w:p>
        </w:tc>
        <w:tc>
          <w:tcPr>
            <w:tcW w:w="0" w:type="dxa"/>
            <w:vAlign w:val="bottom"/>
          </w:tcPr>
          <w:p>
            <w:pPr>
              <w:spacing w:after="0"/>
              <w:rPr>
                <w:sz w:val="1"/>
                <w:szCs w:val="1"/>
                <w:color w:val="auto"/>
              </w:rPr>
            </w:pPr>
          </w:p>
        </w:tc>
      </w:tr>
      <w:tr>
        <w:trPr>
          <w:trHeight w:val="217"/>
        </w:trPr>
        <w:tc>
          <w:tcPr>
            <w:tcW w:w="28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02/25/2025</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120" w:space="72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02/25/2025</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11,250</w:t>
            </w:r>
          </w:p>
        </w:tc>
        <w:tc>
          <w:tcPr>
            <w:tcW w:w="5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tcPr>
          <w:p>
            <w:pPr>
              <w:jc w:val="center"/>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7.84</w:t>
            </w: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81"/>
              <w:spacing w:after="0"/>
              <w:rPr>
                <w:sz w:val="20"/>
                <w:szCs w:val="20"/>
                <w:color w:val="auto"/>
              </w:rPr>
            </w:pPr>
            <w:r>
              <w:rPr>
                <w:rFonts w:ascii="Times New Roman" w:cs="Times New Roman" w:eastAsia="Times New Roman" w:hAnsi="Times New Roman"/>
                <w:sz w:val="17"/>
                <w:szCs w:val="17"/>
                <w:color w:val="0000FF"/>
              </w:rPr>
              <w:t>14,367.184</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02/25/2025</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11,250</w:t>
            </w:r>
          </w:p>
        </w:tc>
        <w:tc>
          <w:tcPr>
            <w:tcW w:w="5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56.4347</w:t>
            </w:r>
            <w:r>
              <w:rPr>
                <w:rFonts w:ascii="Times New Roman" w:cs="Times New Roman" w:eastAsia="Times New Roman" w:hAnsi="Times New Roman"/>
                <w:sz w:val="21"/>
                <w:szCs w:val="21"/>
                <w:color w:val="008000"/>
                <w:w w:val="96"/>
                <w:vertAlign w:val="superscript"/>
              </w:rPr>
              <w:t>(2)</w:t>
            </w:r>
          </w:p>
        </w:tc>
        <w:tc>
          <w:tcPr>
            <w:tcW w:w="1180" w:type="dxa"/>
            <w:vAlign w:val="bottom"/>
            <w:tcBorders>
              <w:bottom w:val="single" w:sz="8" w:color="2C2C2C"/>
            </w:tcBorders>
            <w:gridSpan w:val="2"/>
          </w:tcPr>
          <w:p>
            <w:pPr>
              <w:jc w:val="right"/>
              <w:ind w:right="221"/>
              <w:spacing w:after="0"/>
              <w:rPr>
                <w:sz w:val="20"/>
                <w:szCs w:val="20"/>
                <w:color w:val="auto"/>
              </w:rPr>
            </w:pPr>
            <w:r>
              <w:rPr>
                <w:rFonts w:ascii="Times New Roman" w:cs="Times New Roman" w:eastAsia="Times New Roman" w:hAnsi="Times New Roman"/>
                <w:sz w:val="17"/>
                <w:szCs w:val="17"/>
                <w:color w:val="0000FF"/>
              </w:rPr>
              <w:t>3,117.184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7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tcPr>
          <w:p>
            <w:pPr>
              <w:ind w:left="16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w w:val="97"/>
              </w:rPr>
              <w:t>Class A</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7.84</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02/25/2025</w:t>
            </w:r>
          </w:p>
        </w:tc>
        <w:tc>
          <w:tcPr>
            <w:tcW w:w="1140" w:type="dxa"/>
            <w:vAlign w:val="bottom"/>
          </w:tcPr>
          <w:p>
            <w:pPr>
              <w:spacing w:after="0"/>
              <w:rPr>
                <w:sz w:val="13"/>
                <w:szCs w:val="13"/>
                <w:color w:val="auto"/>
              </w:rPr>
            </w:pPr>
          </w:p>
        </w:tc>
        <w:tc>
          <w:tcPr>
            <w:tcW w:w="44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3"/>
                <w:szCs w:val="13"/>
                <w:color w:val="auto"/>
              </w:rPr>
            </w:pPr>
          </w:p>
        </w:tc>
        <w:tc>
          <w:tcPr>
            <w:tcW w:w="700" w:type="dxa"/>
            <w:vAlign w:val="bottom"/>
          </w:tcPr>
          <w:p>
            <w:pPr>
              <w:ind w:left="340"/>
              <w:spacing w:after="0"/>
              <w:rPr>
                <w:sz w:val="20"/>
                <w:szCs w:val="20"/>
                <w:color w:val="auto"/>
              </w:rPr>
            </w:pPr>
            <w:r>
              <w:rPr>
                <w:rFonts w:ascii="Times New Roman" w:cs="Times New Roman" w:eastAsia="Times New Roman" w:hAnsi="Times New Roman"/>
                <w:sz w:val="13"/>
                <w:szCs w:val="13"/>
                <w:color w:val="0000FF"/>
                <w:w w:val="94"/>
              </w:rPr>
              <w:t>11,250</w:t>
            </w:r>
          </w:p>
        </w:tc>
        <w:tc>
          <w:tcPr>
            <w:tcW w:w="80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03/15/2026</w:t>
            </w:r>
          </w:p>
        </w:tc>
        <w:tc>
          <w:tcPr>
            <w:tcW w:w="1220" w:type="dxa"/>
            <w:vAlign w:val="bottom"/>
            <w:gridSpan w:val="2"/>
          </w:tcPr>
          <w:p>
            <w:pPr>
              <w:ind w:left="60"/>
              <w:spacing w:after="0" w:line="155" w:lineRule="exact"/>
              <w:rPr>
                <w:sz w:val="20"/>
                <w:szCs w:val="20"/>
                <w:color w:val="auto"/>
              </w:rPr>
            </w:pPr>
            <w:r>
              <w:rPr>
                <w:rFonts w:ascii="Times New Roman" w:cs="Times New Roman" w:eastAsia="Times New Roman" w:hAnsi="Times New Roman"/>
                <w:sz w:val="13"/>
                <w:szCs w:val="13"/>
                <w:color w:val="0000FF"/>
              </w:rPr>
              <w:t xml:space="preserve">Common  </w:t>
            </w:r>
            <w:r>
              <w:rPr>
                <w:rFonts w:ascii="Times New Roman" w:cs="Times New Roman" w:eastAsia="Times New Roman" w:hAnsi="Times New Roman"/>
                <w:sz w:val="16"/>
                <w:szCs w:val="16"/>
                <w:color w:val="0000FF"/>
              </w:rPr>
              <w:t>11,250</w:t>
            </w:r>
          </w:p>
        </w:tc>
        <w:tc>
          <w:tcPr>
            <w:tcW w:w="160" w:type="dxa"/>
            <w:vAlign w:val="bottom"/>
          </w:tcPr>
          <w:p>
            <w:pPr>
              <w:spacing w:after="0"/>
              <w:rPr>
                <w:sz w:val="13"/>
                <w:szCs w:val="13"/>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3"/>
                <w:szCs w:val="13"/>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-2009775</wp:posOffset>
            </wp:positionV>
            <wp:extent cx="29210" cy="20148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48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168.5866 shares acquired on July 1, 2024, and 171.2328 shares acquired on January 1, 2025, under the Rush Enterprises, Inc. Employee Stock Purchase Plan.</w:t>
      </w:r>
    </w:p>
    <w:p>
      <w:pPr>
        <w:spacing w:after="0" w:line="43" w:lineRule="exact"/>
        <w:rPr>
          <w:rFonts w:ascii="Times New Roman" w:cs="Times New Roman" w:eastAsia="Times New Roman" w:hAnsi="Times New Roman"/>
          <w:sz w:val="13"/>
          <w:szCs w:val="13"/>
          <w:color w:val="008000"/>
        </w:rPr>
      </w:pPr>
    </w:p>
    <w:p>
      <w:pPr>
        <w:ind w:left="40" w:right="2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price is a weighted average price. These shares were sold in multiple transactions at prices ranging from $56.24 to $56.57. The reporting person undertakes to provide Rush Enterprises, Inc., any security holder of Rush Enterprises, Inc., or the staff of the Securities and Exchange Commission, upon request, full information regarding the number of shares sold at each separate price.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Options may be exercised in increments of 1/3 on each anniversary of the grant date beginning on the third anniversary of the grant date. The grant date is ten years prior to the expiration date.</w:t>
      </w:r>
    </w:p>
    <w:p>
      <w:pPr>
        <w:spacing w:after="0" w:line="7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Matthew D. Willcox,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1430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 in Fact for Jody</w:t>
      </w:r>
      <w:r>
        <w:rPr>
          <w:sz w:val="20"/>
          <w:szCs w:val="20"/>
          <w:color w:val="auto"/>
        </w:rPr>
        <w:tab/>
      </w:r>
      <w:r>
        <w:rPr>
          <w:rFonts w:ascii="Times New Roman" w:cs="Times New Roman" w:eastAsia="Times New Roman" w:hAnsi="Times New Roman"/>
          <w:sz w:val="16"/>
          <w:szCs w:val="16"/>
          <w:color w:val="0000FF"/>
        </w:rPr>
        <w:t>02/25/2025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Pollard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3073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07340"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52965" TargetMode="External"/><Relationship Id="rId14" Type="http://schemas.openxmlformats.org/officeDocument/2006/relationships/hyperlink" Target="http://www.sec.gov/cgi-bin/browse-edgar?action=getcompany&amp;CIK=0001012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2025-02-25T17:52:10Z</dcterms:created>
  <dcterms:modified xsi:type="dcterms:W3CDTF">2025-02-25T17:52:10Z</dcterms:modified>
</cp:coreProperties>
</file>