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pPr>
      <w:bookmarkStart w:id="0" w:name="rusha20260519_8k.htm"/>
      <w:bookmarkStart w:id="1" w:name="ksrusha20260519_8k"/>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UNITED STATES</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SECURITIES AND EXCHANGE COMMISSION</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CURRENT REPORT</w:t>
      </w:r>
    </w:p>
    <w:p>
      <w:pPr>
        <w:pStyle w:val="TextBody"/>
        <w:bidi w:val="0"/>
        <w:spacing w:before="0" w:after="0"/>
        <w:ind w:left="0" w:right="0" w:hanging="0"/>
        <w:jc w:val="center"/>
        <w:rPr>
          <w:rFonts w:ascii="Times New Roman" w:hAnsi="Times New Roman"/>
          <w:b/>
          <w:caps w:val="false"/>
          <w:smallCaps w:val="false"/>
          <w:sz w:val="22"/>
        </w:rPr>
      </w:pPr>
      <w:r>
        <w:rPr>
          <w:rFonts w:ascii="Times New Roman" w:hAnsi="Times New Roman"/>
          <w:b/>
          <w:caps w:val="false"/>
          <w:smallCaps w:val="false"/>
          <w:sz w:val="22"/>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2"/>
        </w:rPr>
      </w:pPr>
      <w:r>
        <w:rPr>
          <w:rFonts w:ascii="Times New Roman" w:hAnsi="Times New Roman"/>
          <w:b/>
          <w:caps w:val="false"/>
          <w:smallCaps w:val="false"/>
          <w:sz w:val="22"/>
        </w:rPr>
        <w:t xml:space="preserve">Date of Report </w:t>
      </w:r>
      <w:r>
        <w:rPr>
          <w:rFonts w:ascii="Times New Roman" w:hAnsi="Times New Roman"/>
          <w:caps w:val="false"/>
          <w:smallCaps w:val="false"/>
          <w:sz w:val="22"/>
        </w:rPr>
        <w:t xml:space="preserve">(Date of earliest event reported): </w:t>
      </w:r>
      <w:r>
        <w:rPr>
          <w:rFonts w:ascii="Times New Roman" w:hAnsi="Times New Roman"/>
          <w:b/>
          <w:caps w:val="false"/>
          <w:smallCaps w:val="false"/>
          <w:sz w:val="22"/>
        </w:rPr>
        <w:t>May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Rush Enterprises,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3200"/>
        <w:gridCol w:w="2210"/>
        <w:gridCol w:w="276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Texas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0-20797</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74-1733016</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20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555 IH-35 South, Suite 500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New Braunfels, Texas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221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78130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(830) 302-5200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br/>
        <w:t>______________________________________________</w:t>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65" w:type="dxa"/>
        <w:jc w:val="left"/>
        <w:tblInd w:w="-7" w:type="dxa"/>
        <w:tblLayout w:type="fixed"/>
        <w:tblCellMar>
          <w:top w:w="28" w:type="dxa"/>
          <w:left w:w="28" w:type="dxa"/>
          <w:bottom w:w="28" w:type="dxa"/>
          <w:right w:w="28" w:type="dxa"/>
        </w:tblCellMar>
      </w:tblPr>
      <w:tblGrid>
        <w:gridCol w:w="4055"/>
        <w:gridCol w:w="1535"/>
        <w:gridCol w:w="3575"/>
      </w:tblGrid>
      <w:tr>
        <w:trPr/>
        <w:tc>
          <w:tcPr>
            <w:tcW w:w="40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4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A Common Stock, par value $0.01 per share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RUSHA</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r>
        <w:trPr/>
        <w:tc>
          <w:tcPr>
            <w:tcW w:w="40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B Common Stock, par value $0.01 per share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RUSHB</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1440"/>
        <w:jc w:val="both"/>
        <w:rPr>
          <w:rFonts w:ascii="Times New Roman" w:hAnsi="Times New Roman"/>
          <w:caps w:val="false"/>
          <w:smallCaps w:val="false"/>
          <w:sz w:val="20"/>
        </w:rPr>
      </w:pPr>
      <w:r>
        <w:rPr>
          <w:rFonts w:ascii="Times New Roman" w:hAnsi="Times New Roman"/>
          <w:b/>
          <w:caps w:val="false"/>
          <w:smallCaps w:val="false"/>
          <w:sz w:val="20"/>
        </w:rPr>
        <w:t>Item 5.07</w:t>
      </w:r>
      <w:r>
        <w:rPr>
          <w:rFonts w:ascii="Times New Roman" w:hAnsi="Times New Roman"/>
          <w:caps w:val="false"/>
          <w:smallCaps w:val="false"/>
          <w:sz w:val="20"/>
        </w:rPr>
        <w:t>         </w:t>
      </w:r>
      <w:r>
        <w:rPr>
          <w:rFonts w:ascii="Times New Roman" w:hAnsi="Times New Roman"/>
          <w:b/>
          <w:caps w:val="false"/>
          <w:smallCaps w:val="false"/>
          <w:sz w:val="20"/>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May 19, 2026, Rush Enterprises, Inc. (the “Company”) held its 2026 Annual Meeting of Shareholders (the “2026 Annual Meeting”). At the 2026 Annual Meeting, the holders of 58,849,724 shares of Class A Common Stock (representing 2,942,485 total votes) and the holders of 16,264,511 shares of Class B Common Stock cast votes, either in person or by proxy. Set forth below are the final voting results for the proposals voted upon at the 2026 Annual Meeting. The 2026 Proxy Statement contains a detailed description of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u w:val="single"/>
        </w:rPr>
        <w:t xml:space="preserve">Proposal 1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Election of Directors</w:t>
      </w:r>
      <w:r>
        <w:rPr>
          <w:rFonts w:ascii="Times New Roman" w:hAnsi="Times New Roman"/>
          <w:caps w:val="false"/>
          <w:smallCaps w:val="false"/>
          <w:sz w:val="20"/>
        </w:rPr>
        <w:t>. The Company’s shareholders elected W.M. “Rusty” Rush, Thomas A. Akin, Raymond J. Chess, William H. Cary, Dr. Kennon H. Guglielmo, Elaine Mendoza, Troy A. Clarke, Amy Boerger and Michael J. McRoberts as directors to hold office until the Company’s 2027 Annual Meeting of Shareholders. The voting results for each of these individuals were as follows:</w:t>
      </w:r>
    </w:p>
    <w:p>
      <w:pPr>
        <w:pStyle w:val="TextBody"/>
        <w:bidi w:val="0"/>
        <w:spacing w:before="0" w:after="0"/>
        <w:ind w:left="0" w:right="0" w:firstLine="720"/>
        <w:jc w:val="left"/>
        <w:rPr>
          <w:caps w:val="false"/>
          <w:smallCaps w:val="false"/>
        </w:rPr>
      </w:pPr>
      <w:r>
        <w:rPr>
          <w:caps w:val="false"/>
          <w:smallCaps w:val="false"/>
        </w:rPr>
        <w:t> </w:t>
      </w:r>
    </w:p>
    <w:tbl>
      <w:tblPr>
        <w:tblW w:w="4985" w:type="dxa"/>
        <w:jc w:val="left"/>
        <w:tblInd w:w="0" w:type="dxa"/>
        <w:tblLayout w:type="fixed"/>
        <w:tblCellMar>
          <w:top w:w="0" w:type="dxa"/>
          <w:left w:w="0" w:type="dxa"/>
          <w:bottom w:w="0" w:type="dxa"/>
          <w:right w:w="0" w:type="dxa"/>
        </w:tblCellMar>
      </w:tblPr>
      <w:tblGrid>
        <w:gridCol w:w="2105"/>
        <w:gridCol w:w="60"/>
        <w:gridCol w:w="950"/>
        <w:gridCol w:w="60"/>
        <w:gridCol w:w="845"/>
        <w:gridCol w:w="60"/>
        <w:gridCol w:w="905"/>
      </w:tblGrid>
      <w:tr>
        <w:trPr/>
        <w:tc>
          <w:tcPr>
            <w:tcW w:w="2105" w:type="dxa"/>
            <w:tcBorders/>
            <w:vAlign w:val="center"/>
          </w:tcPr>
          <w:p>
            <w:pPr>
              <w:pStyle w:val="TableContents"/>
              <w:bidi w:val="0"/>
              <w:spacing w:before="0" w:after="0"/>
              <w:ind w:left="72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Name</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0"/>
              <w:ind w:left="720" w:right="0" w:hanging="0"/>
              <w:jc w:val="righ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Votes For</w:t>
            </w:r>
          </w:p>
        </w:tc>
        <w:tc>
          <w:tcPr>
            <w:tcW w:w="60" w:type="dxa"/>
            <w:tcBorders/>
            <w:vAlign w:val="center"/>
          </w:tcPr>
          <w:p>
            <w:pPr>
              <w:pStyle w:val="TableContents"/>
              <w:bidi w:val="0"/>
              <w:spacing w:before="0" w:after="283"/>
              <w:jc w:val="right"/>
              <w:rPr/>
            </w:pPr>
            <w:r>
              <w:rPr/>
              <w:t> </w:t>
            </w:r>
          </w:p>
        </w:tc>
        <w:tc>
          <w:tcPr>
            <w:tcW w:w="845" w:type="dxa"/>
            <w:tcBorders/>
            <w:vAlign w:val="center"/>
          </w:tcPr>
          <w:p>
            <w:pPr>
              <w:pStyle w:val="TableContents"/>
              <w:bidi w:val="0"/>
              <w:spacing w:before="0" w:after="0"/>
              <w:ind w:left="72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Votes  </w:t>
            </w:r>
          </w:p>
          <w:p>
            <w:pPr>
              <w:pStyle w:val="TableContents"/>
              <w:bidi w:val="0"/>
              <w:spacing w:before="0" w:after="0"/>
              <w:ind w:left="720" w:right="0" w:hanging="0"/>
              <w:jc w:val="righ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Withheld</w:t>
            </w:r>
          </w:p>
        </w:tc>
        <w:tc>
          <w:tcPr>
            <w:tcW w:w="60" w:type="dxa"/>
            <w:tcBorders/>
            <w:vAlign w:val="center"/>
          </w:tcPr>
          <w:p>
            <w:pPr>
              <w:pStyle w:val="TableContents"/>
              <w:bidi w:val="0"/>
              <w:spacing w:before="0" w:after="283"/>
              <w:jc w:val="right"/>
              <w:rPr/>
            </w:pPr>
            <w:r>
              <w:rPr/>
              <w:t> </w:t>
            </w:r>
          </w:p>
        </w:tc>
        <w:tc>
          <w:tcPr>
            <w:tcW w:w="905" w:type="dxa"/>
            <w:tcBorders/>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b/>
                <w:caps w:val="false"/>
                <w:smallCaps w:val="false"/>
                <w:sz w:val="20"/>
              </w:rPr>
              <w:t>Broker </w:t>
            </w:r>
            <w:r>
              <w:rPr>
                <w:rFonts w:ascii="Times New Roman;Times;serif" w:hAnsi="Times New Roman;Times;serif"/>
                <w:caps w:val="false"/>
                <w:smallCaps w:val="false"/>
                <w:sz w:val="20"/>
              </w:rPr>
              <w:t> </w:t>
            </w:r>
          </w:p>
          <w:p>
            <w:pPr>
              <w:pStyle w:val="TableContents"/>
              <w:bidi w:val="0"/>
              <w:spacing w:before="0" w:after="0"/>
              <w:ind w:left="720" w:right="0" w:hanging="0"/>
              <w:jc w:val="righ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Non-Votes</w:t>
            </w:r>
          </w:p>
        </w:tc>
      </w:tr>
      <w:tr>
        <w:trPr/>
        <w:tc>
          <w:tcPr>
            <w:tcW w:w="2105" w:type="dxa"/>
            <w:tcBorders/>
            <w:shd w:fill="CCEEFF" w:val="clear"/>
            <w:vAlign w:val="center"/>
          </w:tcPr>
          <w:p>
            <w:pPr>
              <w:pStyle w:val="TableContents"/>
              <w:bidi w:val="0"/>
              <w:spacing w:before="0" w:after="0"/>
              <w:ind w:left="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 M. “Rusty” Rush</w:t>
            </w:r>
          </w:p>
        </w:tc>
        <w:tc>
          <w:tcPr>
            <w:tcW w:w="60"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17,605,429</w:t>
            </w:r>
          </w:p>
        </w:tc>
        <w:tc>
          <w:tcPr>
            <w:tcW w:w="60" w:type="dxa"/>
            <w:tcBorders/>
            <w:shd w:fill="CCEEFF" w:val="clear"/>
            <w:vAlign w:val="center"/>
          </w:tcPr>
          <w:p>
            <w:pPr>
              <w:pStyle w:val="TableContents"/>
              <w:bidi w:val="0"/>
              <w:spacing w:before="0" w:after="283"/>
              <w:jc w:val="right"/>
              <w:rPr/>
            </w:pPr>
            <w:r>
              <w:rPr/>
              <w:t> </w:t>
            </w:r>
          </w:p>
        </w:tc>
        <w:tc>
          <w:tcPr>
            <w:tcW w:w="845"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122,492</w:t>
            </w:r>
          </w:p>
        </w:tc>
        <w:tc>
          <w:tcPr>
            <w:tcW w:w="6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1,479,076</w:t>
            </w:r>
          </w:p>
        </w:tc>
      </w:tr>
      <w:tr>
        <w:trPr/>
        <w:tc>
          <w:tcPr>
            <w:tcW w:w="2105" w:type="dxa"/>
            <w:tcBorders/>
            <w:shd w:fill="FFFFFF" w:val="clear"/>
            <w:vAlign w:val="center"/>
          </w:tcPr>
          <w:p>
            <w:pPr>
              <w:pStyle w:val="TableContents"/>
              <w:bidi w:val="0"/>
              <w:spacing w:before="0" w:after="0"/>
              <w:ind w:left="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A. Akin</w:t>
            </w:r>
          </w:p>
        </w:tc>
        <w:tc>
          <w:tcPr>
            <w:tcW w:w="60"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17,518,514</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209,407</w:t>
            </w:r>
          </w:p>
        </w:tc>
        <w:tc>
          <w:tcPr>
            <w:tcW w:w="60"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1,479,076</w:t>
            </w:r>
          </w:p>
        </w:tc>
      </w:tr>
      <w:tr>
        <w:trPr/>
        <w:tc>
          <w:tcPr>
            <w:tcW w:w="2105" w:type="dxa"/>
            <w:tcBorders/>
            <w:shd w:fill="CCEEFF" w:val="clear"/>
            <w:vAlign w:val="center"/>
          </w:tcPr>
          <w:p>
            <w:pPr>
              <w:pStyle w:val="TableContents"/>
              <w:bidi w:val="0"/>
              <w:spacing w:before="0" w:after="0"/>
              <w:ind w:left="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 Chess</w:t>
            </w:r>
          </w:p>
        </w:tc>
        <w:tc>
          <w:tcPr>
            <w:tcW w:w="60"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13,814,905</w:t>
            </w:r>
          </w:p>
        </w:tc>
        <w:tc>
          <w:tcPr>
            <w:tcW w:w="60" w:type="dxa"/>
            <w:tcBorders/>
            <w:shd w:fill="CCEEFF" w:val="clear"/>
            <w:vAlign w:val="center"/>
          </w:tcPr>
          <w:p>
            <w:pPr>
              <w:pStyle w:val="TableContents"/>
              <w:bidi w:val="0"/>
              <w:spacing w:before="0" w:after="283"/>
              <w:jc w:val="right"/>
              <w:rPr/>
            </w:pPr>
            <w:r>
              <w:rPr/>
              <w:t> </w:t>
            </w:r>
          </w:p>
        </w:tc>
        <w:tc>
          <w:tcPr>
            <w:tcW w:w="845"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3,913,016</w:t>
            </w:r>
          </w:p>
        </w:tc>
        <w:tc>
          <w:tcPr>
            <w:tcW w:w="6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1,479,076</w:t>
            </w:r>
          </w:p>
        </w:tc>
      </w:tr>
      <w:tr>
        <w:trPr/>
        <w:tc>
          <w:tcPr>
            <w:tcW w:w="2105" w:type="dxa"/>
            <w:tcBorders/>
            <w:shd w:fill="FFFFFF" w:val="clear"/>
            <w:vAlign w:val="center"/>
          </w:tcPr>
          <w:p>
            <w:pPr>
              <w:pStyle w:val="TableContents"/>
              <w:bidi w:val="0"/>
              <w:spacing w:before="0" w:after="0"/>
              <w:ind w:left="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H. Cary</w:t>
            </w:r>
          </w:p>
        </w:tc>
        <w:tc>
          <w:tcPr>
            <w:tcW w:w="60"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17,548,165</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179,756</w:t>
            </w:r>
          </w:p>
        </w:tc>
        <w:tc>
          <w:tcPr>
            <w:tcW w:w="60"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1,479,076</w:t>
            </w:r>
          </w:p>
        </w:tc>
      </w:tr>
      <w:tr>
        <w:trPr/>
        <w:tc>
          <w:tcPr>
            <w:tcW w:w="2105" w:type="dxa"/>
            <w:tcBorders/>
            <w:shd w:fill="CCEEFF" w:val="clear"/>
            <w:vAlign w:val="center"/>
          </w:tcPr>
          <w:p>
            <w:pPr>
              <w:pStyle w:val="TableContents"/>
              <w:bidi w:val="0"/>
              <w:spacing w:before="0" w:after="0"/>
              <w:ind w:left="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 Kennon H. Guglielmo</w:t>
            </w:r>
          </w:p>
        </w:tc>
        <w:tc>
          <w:tcPr>
            <w:tcW w:w="60"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13,877,618</w:t>
            </w:r>
          </w:p>
        </w:tc>
        <w:tc>
          <w:tcPr>
            <w:tcW w:w="60" w:type="dxa"/>
            <w:tcBorders/>
            <w:shd w:fill="CCEEFF" w:val="clear"/>
            <w:vAlign w:val="center"/>
          </w:tcPr>
          <w:p>
            <w:pPr>
              <w:pStyle w:val="TableContents"/>
              <w:bidi w:val="0"/>
              <w:spacing w:before="0" w:after="283"/>
              <w:jc w:val="right"/>
              <w:rPr/>
            </w:pPr>
            <w:r>
              <w:rPr/>
              <w:t> </w:t>
            </w:r>
          </w:p>
        </w:tc>
        <w:tc>
          <w:tcPr>
            <w:tcW w:w="845"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3,850,303</w:t>
            </w:r>
          </w:p>
        </w:tc>
        <w:tc>
          <w:tcPr>
            <w:tcW w:w="6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1,479,076</w:t>
            </w:r>
          </w:p>
        </w:tc>
      </w:tr>
      <w:tr>
        <w:trPr/>
        <w:tc>
          <w:tcPr>
            <w:tcW w:w="2105" w:type="dxa"/>
            <w:tcBorders/>
            <w:shd w:fill="FFFFFF" w:val="clear"/>
            <w:vAlign w:val="center"/>
          </w:tcPr>
          <w:p>
            <w:pPr>
              <w:pStyle w:val="TableContents"/>
              <w:bidi w:val="0"/>
              <w:spacing w:before="0" w:after="0"/>
              <w:ind w:left="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Elaine Mendoza</w:t>
            </w:r>
          </w:p>
        </w:tc>
        <w:tc>
          <w:tcPr>
            <w:tcW w:w="60"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12,029,419</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5,698,502</w:t>
            </w:r>
          </w:p>
        </w:tc>
        <w:tc>
          <w:tcPr>
            <w:tcW w:w="60"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1,479,076</w:t>
            </w:r>
          </w:p>
        </w:tc>
      </w:tr>
      <w:tr>
        <w:trPr/>
        <w:tc>
          <w:tcPr>
            <w:tcW w:w="2105" w:type="dxa"/>
            <w:tcBorders/>
            <w:shd w:fill="CCEEFF" w:val="clear"/>
            <w:vAlign w:val="center"/>
          </w:tcPr>
          <w:p>
            <w:pPr>
              <w:pStyle w:val="TableContents"/>
              <w:bidi w:val="0"/>
              <w:spacing w:before="0" w:after="0"/>
              <w:ind w:left="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Troy A. Clarke</w:t>
            </w:r>
          </w:p>
        </w:tc>
        <w:tc>
          <w:tcPr>
            <w:tcW w:w="60"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13,878,732</w:t>
            </w:r>
          </w:p>
        </w:tc>
        <w:tc>
          <w:tcPr>
            <w:tcW w:w="60" w:type="dxa"/>
            <w:tcBorders/>
            <w:shd w:fill="CCEEFF" w:val="clear"/>
            <w:vAlign w:val="center"/>
          </w:tcPr>
          <w:p>
            <w:pPr>
              <w:pStyle w:val="TableContents"/>
              <w:bidi w:val="0"/>
              <w:spacing w:before="0" w:after="283"/>
              <w:jc w:val="right"/>
              <w:rPr/>
            </w:pPr>
            <w:r>
              <w:rPr/>
              <w:t> </w:t>
            </w:r>
          </w:p>
        </w:tc>
        <w:tc>
          <w:tcPr>
            <w:tcW w:w="845"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3,849,189</w:t>
            </w:r>
          </w:p>
        </w:tc>
        <w:tc>
          <w:tcPr>
            <w:tcW w:w="6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1,479,076</w:t>
            </w:r>
          </w:p>
        </w:tc>
      </w:tr>
      <w:tr>
        <w:trPr/>
        <w:tc>
          <w:tcPr>
            <w:tcW w:w="2105" w:type="dxa"/>
            <w:tcBorders/>
            <w:shd w:fill="FFFFFF" w:val="clear"/>
            <w:vAlign w:val="center"/>
          </w:tcPr>
          <w:p>
            <w:pPr>
              <w:pStyle w:val="TableContents"/>
              <w:bidi w:val="0"/>
              <w:spacing w:before="0" w:after="0"/>
              <w:ind w:left="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Amy Boerger</w:t>
            </w:r>
          </w:p>
        </w:tc>
        <w:tc>
          <w:tcPr>
            <w:tcW w:w="60" w:type="dxa"/>
            <w:tcBorders/>
            <w:shd w:fill="FFFFFF" w:val="clear"/>
            <w:vAlign w:val="center"/>
          </w:tcPr>
          <w:p>
            <w:pPr>
              <w:pStyle w:val="TableContents"/>
              <w:bidi w:val="0"/>
              <w:spacing w:before="0" w:after="283"/>
              <w:jc w:val="right"/>
              <w:rPr/>
            </w:pPr>
            <w:r>
              <w:rPr/>
              <w:t> </w:t>
            </w:r>
          </w:p>
        </w:tc>
        <w:tc>
          <w:tcPr>
            <w:tcW w:w="950"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17,580,775</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147,146</w:t>
            </w:r>
          </w:p>
        </w:tc>
        <w:tc>
          <w:tcPr>
            <w:tcW w:w="60" w:type="dxa"/>
            <w:tcBorders/>
            <w:shd w:fill="FFFFFF" w:val="clear"/>
            <w:vAlign w:val="center"/>
          </w:tcPr>
          <w:p>
            <w:pPr>
              <w:pStyle w:val="TableContents"/>
              <w:bidi w:val="0"/>
              <w:spacing w:before="0" w:after="283"/>
              <w:jc w:val="right"/>
              <w:rPr/>
            </w:pPr>
            <w:r>
              <w:rPr/>
              <w:t> </w:t>
            </w:r>
          </w:p>
        </w:tc>
        <w:tc>
          <w:tcPr>
            <w:tcW w:w="905" w:type="dxa"/>
            <w:tcBorders/>
            <w:shd w:fill="FFFF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1,479,076</w:t>
            </w:r>
          </w:p>
        </w:tc>
      </w:tr>
      <w:tr>
        <w:trPr/>
        <w:tc>
          <w:tcPr>
            <w:tcW w:w="2105" w:type="dxa"/>
            <w:tcBorders/>
            <w:shd w:fill="CCEEFF" w:val="clear"/>
            <w:vAlign w:val="center"/>
          </w:tcPr>
          <w:p>
            <w:pPr>
              <w:pStyle w:val="TableContents"/>
              <w:bidi w:val="0"/>
              <w:spacing w:before="0" w:after="0"/>
              <w:ind w:left="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McRoberts</w:t>
            </w:r>
          </w:p>
        </w:tc>
        <w:tc>
          <w:tcPr>
            <w:tcW w:w="60" w:type="dxa"/>
            <w:tcBorders/>
            <w:shd w:fill="CCEEFF" w:val="clear"/>
            <w:vAlign w:val="center"/>
          </w:tcPr>
          <w:p>
            <w:pPr>
              <w:pStyle w:val="TableContents"/>
              <w:bidi w:val="0"/>
              <w:spacing w:before="0" w:after="283"/>
              <w:jc w:val="right"/>
              <w:rPr/>
            </w:pPr>
            <w:r>
              <w:rPr/>
              <w:t> </w:t>
            </w:r>
          </w:p>
        </w:tc>
        <w:tc>
          <w:tcPr>
            <w:tcW w:w="950"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17,659,928</w:t>
            </w:r>
          </w:p>
        </w:tc>
        <w:tc>
          <w:tcPr>
            <w:tcW w:w="60" w:type="dxa"/>
            <w:tcBorders/>
            <w:shd w:fill="CCEEFF" w:val="clear"/>
            <w:vAlign w:val="center"/>
          </w:tcPr>
          <w:p>
            <w:pPr>
              <w:pStyle w:val="TableContents"/>
              <w:bidi w:val="0"/>
              <w:spacing w:before="0" w:after="283"/>
              <w:jc w:val="right"/>
              <w:rPr/>
            </w:pPr>
            <w:r>
              <w:rPr/>
              <w:t> </w:t>
            </w:r>
          </w:p>
        </w:tc>
        <w:tc>
          <w:tcPr>
            <w:tcW w:w="845"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67,993</w:t>
            </w:r>
          </w:p>
        </w:tc>
        <w:tc>
          <w:tcPr>
            <w:tcW w:w="60" w:type="dxa"/>
            <w:tcBorders/>
            <w:shd w:fill="CCEEFF" w:val="clear"/>
            <w:vAlign w:val="center"/>
          </w:tcPr>
          <w:p>
            <w:pPr>
              <w:pStyle w:val="TableContents"/>
              <w:bidi w:val="0"/>
              <w:spacing w:before="0" w:after="283"/>
              <w:jc w:val="right"/>
              <w:rPr/>
            </w:pPr>
            <w:r>
              <w:rPr/>
              <w:t> </w:t>
            </w:r>
          </w:p>
        </w:tc>
        <w:tc>
          <w:tcPr>
            <w:tcW w:w="905" w:type="dxa"/>
            <w:tcBorders/>
            <w:shd w:fill="CCEEFF" w:val="clear"/>
            <w:vAlign w:val="center"/>
          </w:tcPr>
          <w:p>
            <w:pPr>
              <w:pStyle w:val="TableContents"/>
              <w:bidi w:val="0"/>
              <w:spacing w:before="0" w:after="0"/>
              <w:ind w:left="72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1,479,076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u w:val="single"/>
        </w:rPr>
        <w:t xml:space="preserve">Proposal 2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Advisory Vote to Approve Executive Compensation</w:t>
      </w:r>
      <w:r>
        <w:rPr>
          <w:rFonts w:ascii="Times New Roman" w:hAnsi="Times New Roman"/>
          <w:caps w:val="false"/>
          <w:smallCaps w:val="false"/>
          <w:sz w:val="20"/>
        </w:rPr>
        <w:t>. The Company’s shareholders approved, on an advisory basis, the Company’s executive compensation.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965"/>
        <w:gridCol w:w="60"/>
        <w:gridCol w:w="1175"/>
        <w:gridCol w:w="60"/>
        <w:gridCol w:w="995"/>
        <w:gridCol w:w="60"/>
        <w:gridCol w:w="1565"/>
      </w:tblGrid>
      <w:tr>
        <w:trPr/>
        <w:tc>
          <w:tcPr>
            <w:tcW w:w="9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Votes For</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Votes Against</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Abstentions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Broker Non-Votes</w:t>
            </w:r>
          </w:p>
        </w:tc>
      </w:tr>
      <w:tr>
        <w:trPr/>
        <w:tc>
          <w:tcPr>
            <w:tcW w:w="9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15,655,848</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2,067,991</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4,082</w:t>
            </w:r>
          </w:p>
        </w:tc>
        <w:tc>
          <w:tcPr>
            <w:tcW w:w="6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1,479,076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u w:val="single"/>
        </w:rPr>
        <w:t xml:space="preserve">Proposal 3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Ratification of the Company</w:t>
      </w:r>
      <w:r>
        <w:rPr>
          <w:rFonts w:ascii="Times New Roman" w:hAnsi="Times New Roman"/>
          <w:caps w:val="false"/>
          <w:smallCaps w:val="false"/>
          <w:sz w:val="20"/>
          <w:u w:val="single"/>
        </w:rPr>
        <w:t>’</w:t>
      </w:r>
      <w:r>
        <w:rPr>
          <w:rFonts w:ascii="Times New Roman" w:hAnsi="Times New Roman"/>
          <w:b/>
          <w:caps w:val="false"/>
          <w:smallCaps w:val="false"/>
          <w:sz w:val="20"/>
          <w:u w:val="single"/>
        </w:rPr>
        <w:t>s Independent Registered Public Accounting Firm</w:t>
      </w:r>
      <w:r>
        <w:rPr>
          <w:rFonts w:ascii="Times New Roman" w:hAnsi="Times New Roman"/>
          <w:caps w:val="false"/>
          <w:smallCaps w:val="false"/>
          <w:sz w:val="20"/>
        </w:rPr>
        <w:t>. The Company’s shareholders ratified the appointment of Ernst &amp; Young LLP as the Company’s independent registered public accounting firm for the 2026 fiscal year.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965"/>
        <w:gridCol w:w="60"/>
        <w:gridCol w:w="1175"/>
        <w:gridCol w:w="60"/>
        <w:gridCol w:w="1010"/>
      </w:tblGrid>
      <w:tr>
        <w:trPr/>
        <w:tc>
          <w:tcPr>
            <w:tcW w:w="965" w:type="dxa"/>
            <w:tcBorders/>
            <w:vAlign w:val="center"/>
          </w:tcPr>
          <w:p>
            <w:pPr>
              <w:pStyle w:val="TableContents"/>
              <w:bidi w:val="0"/>
              <w:spacing w:before="0" w:after="0"/>
              <w:ind w:left="72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Votes For</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72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Votes Against</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0"/>
              <w:ind w:left="72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Abstentions</w:t>
            </w:r>
          </w:p>
        </w:tc>
      </w:tr>
      <w:tr>
        <w:trPr/>
        <w:tc>
          <w:tcPr>
            <w:tcW w:w="965" w:type="dxa"/>
            <w:tcBorders/>
            <w:shd w:fill="CCEEFF" w:val="clear"/>
            <w:vAlign w:val="center"/>
          </w:tcPr>
          <w:p>
            <w:pPr>
              <w:pStyle w:val="TableContents"/>
              <w:bidi w:val="0"/>
              <w:spacing w:before="0" w:after="0"/>
              <w:ind w:left="7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19,066,599</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ind w:left="7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139,771</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ind w:left="72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78" w:type="dxa"/>
        <w:jc w:val="left"/>
        <w:tblInd w:w="0" w:type="dxa"/>
        <w:tblLayout w:type="fixed"/>
        <w:tblCellMar>
          <w:top w:w="0" w:type="dxa"/>
          <w:left w:w="0" w:type="dxa"/>
          <w:bottom w:w="0" w:type="dxa"/>
          <w:right w:w="0" w:type="dxa"/>
        </w:tblCellMar>
      </w:tblPr>
      <w:tblGrid>
        <w:gridCol w:w="1745"/>
        <w:gridCol w:w="365"/>
        <w:gridCol w:w="3545"/>
        <w:gridCol w:w="23"/>
      </w:tblGrid>
      <w:tr>
        <w:trPr/>
        <w:tc>
          <w:tcPr>
            <w:tcW w:w="1745" w:type="dxa"/>
            <w:tcBorders/>
          </w:tcPr>
          <w:p>
            <w:pPr>
              <w:pStyle w:val="TableContents"/>
              <w:bidi w:val="0"/>
              <w:spacing w:before="0" w:after="283"/>
              <w:ind w:left="0" w:right="0" w:hanging="0"/>
              <w:jc w:val="left"/>
              <w:rPr>
                <w:sz w:val="4"/>
                <w:szCs w:val="4"/>
              </w:rPr>
            </w:pPr>
            <w:r>
              <w:rPr>
                <w:sz w:val="4"/>
                <w:szCs w:val="4"/>
              </w:rPr>
            </w:r>
          </w:p>
        </w:tc>
        <w:tc>
          <w:tcPr>
            <w:tcW w:w="3910"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RUSH ENTERPRISES, INC.</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745"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545"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7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May 19, 2026</w:t>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54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Goldstone</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745"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5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General Counsel and</w:t>
            </w:r>
          </w:p>
        </w:tc>
        <w:tc>
          <w:tcPr>
            <w:tcW w:w="23" w:type="dxa"/>
            <w:tcBorders/>
          </w:tcPr>
          <w:p>
            <w:pPr>
              <w:pStyle w:val="TableContents"/>
              <w:bidi w:val="0"/>
              <w:spacing w:before="0" w:after="283"/>
              <w:ind w:left="0" w:right="0" w:hanging="0"/>
              <w:jc w:val="left"/>
              <w:rPr>
                <w:sz w:val="4"/>
                <w:szCs w:val="4"/>
              </w:rPr>
            </w:pPr>
            <w:r>
              <w:rPr>
                <w:sz w:val="4"/>
                <w:szCs w:val="4"/>
              </w:rPr>
            </w:r>
          </w:p>
        </w:tc>
      </w:tr>
      <w:tr>
        <w:trPr/>
        <w:tc>
          <w:tcPr>
            <w:tcW w:w="1745" w:type="dxa"/>
            <w:tcBorders/>
          </w:tcPr>
          <w:p>
            <w:pPr>
              <w:pStyle w:val="TableContents"/>
              <w:bidi w:val="0"/>
              <w:spacing w:before="0" w:after="283"/>
              <w:ind w:left="0" w:right="0" w:hanging="0"/>
              <w:jc w:val="left"/>
              <w:rPr>
                <w:sz w:val="4"/>
                <w:szCs w:val="4"/>
              </w:rPr>
            </w:pPr>
            <w:r>
              <w:rPr>
                <w:sz w:val="4"/>
                <w:szCs w:val="4"/>
              </w:rPr>
            </w:r>
          </w:p>
        </w:tc>
        <w:tc>
          <w:tcPr>
            <w:tcW w:w="365" w:type="dxa"/>
            <w:tcBorders/>
          </w:tcPr>
          <w:p>
            <w:pPr>
              <w:pStyle w:val="TableContents"/>
              <w:bidi w:val="0"/>
              <w:spacing w:before="0" w:after="283"/>
              <w:ind w:left="0" w:right="0" w:hanging="0"/>
              <w:jc w:val="left"/>
              <w:rPr>
                <w:sz w:val="4"/>
                <w:szCs w:val="4"/>
              </w:rPr>
            </w:pPr>
            <w:r>
              <w:rPr>
                <w:sz w:val="4"/>
                <w:szCs w:val="4"/>
              </w:rPr>
            </w:r>
          </w:p>
        </w:tc>
        <w:tc>
          <w:tcPr>
            <w:tcW w:w="35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Secretary</w:t>
            </w:r>
          </w:p>
        </w:tc>
        <w:tc>
          <w:tcPr>
            <w:tcW w:w="23" w:type="dxa"/>
            <w:tcBorders/>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3832</Characters>
  <CharactersWithSpaces>4500</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