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McRoberts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IH 35 SOUTH, SUITE 500</w:t>
      </w:r>
    </w:p>
    <w:p>
      <w:pPr>
        <w:spacing w:after="0" w:line="3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NEW</w:t>
      </w:r>
      <w:r>
        <w:rPr>
          <w:rFonts w:ascii="Times New Roman" w:cs="Times New Roman" w:eastAsia="Times New Roman" w:hAnsi="Times New Roman"/>
          <w:sz w:val="17"/>
          <w:szCs w:val="17"/>
          <w:color w:val="0000FF"/>
        </w:rPr>
        <w:t xml:space="preserve"> TX 78130 BRAUNFELS</w:t>
      </w:r>
    </w:p>
    <w:p>
      <w:pPr>
        <w:spacing w:after="0" w:line="3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RUSH ENTERPRISES INC \TX\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RUSHA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680" w:type="dxa"/>
            <w:vAlign w:val="bottom"/>
            <w:tcBorders>
              <w:top w:val="single" w:sz="8" w:color="0000EE"/>
            </w:tcBorders>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Senior Advisor and Director</w:t>
            </w: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15.06</w:t>
            </w:r>
          </w:p>
        </w:tc>
        <w:tc>
          <w:tcPr>
            <w:tcW w:w="20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24,229.339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72.2317</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16,229.339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8,000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15.06</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2"/>
                <w:szCs w:val="12"/>
                <w:color w:val="auto"/>
              </w:rPr>
            </w:pPr>
          </w:p>
        </w:tc>
        <w:tc>
          <w:tcPr>
            <w:tcW w:w="42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8,000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03/15/2027</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6,500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a weighted average price. These shares were sold in multiple transactions at prices ranging from $71.99 to $72.2317. The reporting person undertakes to provide Rush Enterprises, Inc., any security holder of Rush Enterprises, Inc., or the staff of the Securities and Exchange Commission, upon request,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may be exercised in increments of 1/3 on each anniversary of the grant date beginning on the third anniversary of the grant date. The grant date is ten years prior to the expiration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Steven L. Keller, Attorney-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in-Fact for Michael McRoberts</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2136" TargetMode="External"/><Relationship Id="rId14" Type="http://schemas.openxmlformats.org/officeDocument/2006/relationships/hyperlink" Target="http://www.sec.gov/cgi-bin/browse-edgar?action=getcompany&amp;CIK=000101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2026-05-01T17:42:32Z</dcterms:created>
  <dcterms:modified xsi:type="dcterms:W3CDTF">2026-05-01T17:42:32Z</dcterms:modified>
</cp:coreProperties>
</file>