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Date of Report </w:t>
      </w:r>
      <w:r>
        <w:rPr>
          <w:rFonts w:ascii="Times New Roman" w:cs="Times New Roman" w:eastAsia="Times New Roman" w:hAnsi="Times New Roman"/>
          <w:sz w:val="18"/>
          <w:szCs w:val="18"/>
          <w:color w:val="auto"/>
        </w:rPr>
        <w:t>(Date of earliest event reported):</w:t>
      </w:r>
      <w:r>
        <w:rPr>
          <w:rFonts w:ascii="Times New Roman" w:cs="Times New Roman" w:eastAsia="Times New Roman" w:hAnsi="Times New Roman"/>
          <w:sz w:val="18"/>
          <w:szCs w:val="18"/>
          <w:b w:val="1"/>
          <w:bCs w:val="1"/>
          <w:color w:val="auto"/>
        </w:rPr>
        <w:t xml:space="preserve"> June 15, 2026</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Rush Enterprises,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1000" w:type="dxa"/>
        <w:tblCellMar>
          <w:top w:w="0" w:type="dxa"/>
          <w:left w:w="0" w:type="dxa"/>
          <w:bottom w:w="0" w:type="dxa"/>
          <w:right w:w="0" w:type="dxa"/>
        </w:tblCellMar>
      </w:tblPr>
      <w:tr>
        <w:trPr>
          <w:trHeight w:val="220"/>
        </w:trPr>
        <w:tc>
          <w:tcPr>
            <w:tcW w:w="290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3"/>
              </w:rPr>
              <w:t>Texas</w:t>
            </w:r>
          </w:p>
        </w:tc>
        <w:tc>
          <w:tcPr>
            <w:tcW w:w="3520" w:type="dxa"/>
            <w:vAlign w:val="bottom"/>
          </w:tcPr>
          <w:p>
            <w:pPr>
              <w:jc w:val="right"/>
              <w:ind w:right="1290"/>
              <w:spacing w:after="0"/>
              <w:rPr>
                <w:sz w:val="20"/>
                <w:szCs w:val="20"/>
                <w:color w:val="auto"/>
              </w:rPr>
            </w:pPr>
            <w:r>
              <w:rPr>
                <w:rFonts w:ascii="Times New Roman" w:cs="Times New Roman" w:eastAsia="Times New Roman" w:hAnsi="Times New Roman"/>
                <w:sz w:val="18"/>
                <w:szCs w:val="18"/>
                <w:b w:val="1"/>
                <w:bCs w:val="1"/>
                <w:color w:val="auto"/>
              </w:rPr>
              <w:t>0-20797</w:t>
            </w:r>
          </w:p>
        </w:tc>
        <w:tc>
          <w:tcPr>
            <w:tcW w:w="314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74-1733016</w:t>
            </w:r>
          </w:p>
        </w:tc>
      </w:tr>
      <w:tr>
        <w:trPr>
          <w:trHeight w:val="216"/>
        </w:trPr>
        <w:tc>
          <w:tcPr>
            <w:tcW w:w="290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35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(Commission File Number)</w:t>
            </w:r>
          </w:p>
        </w:tc>
        <w:tc>
          <w:tcPr>
            <w:tcW w:w="31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290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352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410"/>
        </w:trPr>
        <w:tc>
          <w:tcPr>
            <w:tcW w:w="290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rPr>
              <w:t>555 IH-35 South, Suite 500</w:t>
            </w:r>
          </w:p>
        </w:tc>
        <w:tc>
          <w:tcPr>
            <w:tcW w:w="3520" w:type="dxa"/>
            <w:vAlign w:val="bottom"/>
          </w:tcPr>
          <w:p>
            <w:pPr>
              <w:spacing w:after="0"/>
              <w:rPr>
                <w:sz w:val="24"/>
                <w:szCs w:val="24"/>
                <w:color w:val="auto"/>
              </w:rPr>
            </w:pPr>
          </w:p>
        </w:tc>
        <w:tc>
          <w:tcPr>
            <w:tcW w:w="314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78130</w:t>
            </w:r>
          </w:p>
        </w:tc>
      </w:tr>
      <w:tr>
        <w:trPr>
          <w:trHeight w:val="238"/>
        </w:trPr>
        <w:tc>
          <w:tcPr>
            <w:tcW w:w="290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9"/>
              </w:rPr>
              <w:t>New Braunfels, Texas</w:t>
            </w:r>
          </w:p>
        </w:tc>
        <w:tc>
          <w:tcPr>
            <w:tcW w:w="3520" w:type="dxa"/>
            <w:vAlign w:val="bottom"/>
          </w:tcPr>
          <w:p>
            <w:pPr>
              <w:spacing w:after="0"/>
              <w:rPr>
                <w:sz w:val="20"/>
                <w:szCs w:val="20"/>
                <w:color w:val="auto"/>
              </w:rPr>
            </w:pPr>
          </w:p>
        </w:tc>
        <w:tc>
          <w:tcPr>
            <w:tcW w:w="31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8"/>
              </w:rPr>
              <w:t>(Zip Code)</w:t>
            </w:r>
          </w:p>
        </w:tc>
      </w:tr>
    </w:tbl>
    <w:p>
      <w:pPr>
        <w:ind w:left="6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(830) 302-5200</w:t>
      </w:r>
    </w:p>
    <w:p>
      <w:pPr>
        <w:spacing w:after="0" w:line="22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2002155</wp:posOffset>
            </wp:positionH>
            <wp:positionV relativeFrom="paragraph">
              <wp:posOffset>222885</wp:posOffset>
            </wp:positionV>
            <wp:extent cx="31375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511"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40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33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8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9"/>
        </w:trPr>
        <w:tc>
          <w:tcPr>
            <w:tcW w:w="40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$0.01 per share</w:t>
            </w: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RUSHA</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10"/>
        </w:trPr>
        <w:tc>
          <w:tcPr>
            <w:tcW w:w="40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 B Common Stock, par value $0.01 per share</w:t>
            </w:r>
          </w:p>
        </w:tc>
        <w:tc>
          <w:tcPr>
            <w:tcW w:w="3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RUSHB</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0" w:right="339" w:bottom="1440" w:gutter="0" w:footer="0" w:header="0"/>
        </w:sectPr>
      </w:pPr>
    </w:p>
    <w:bookmarkStart w:id="1" w:name="page2"/>
    <w:bookmarkEnd w:id="1"/>
    <w:p>
      <w:pPr>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Effective June 15, 2026, Rush Truck Centres of Canada Limited (“RTC-Canada”), a subsidiary of Rush Enterprises, Inc. (the “Company”), and the Company, as guarantor, entered into the Fourth Amendment to the Amended and Restated BMO Wholesale Financing and Security Agreement (the “Fourth Amendment”) with Bank of Montreal (“BMO”), which amended that certain Amended and Restated BMO Wholesale Financing and Security Agreement, dated as of July 15, 2022, among RTC-Canada, BMO and the Company, as guarantor (the “RTC-Canada Floor Plan Credit Agreement”), as amended.</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terms of the Fourth Amendment, the RTC-Canada Floor Plan Credit Agreement was amended to increase the total loan commitment from $171.7 million CAD to $194.7 million CAD.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Fourth Amendment is qualified in its entirety by reference to the full text of the Fourth Amendment, which is attached as Exhibit 10.1 to this Current Report on Form 8-K and incorporated in this Item 1.01 by reference.</w:t>
      </w:r>
    </w:p>
    <w:p>
      <w:pPr>
        <w:spacing w:after="0" w:line="158"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620" w:hanging="612"/>
        <w:spacing w:after="0"/>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7"/>
          <w:szCs w:val="17"/>
          <w:b w:val="1"/>
          <w:bCs w:val="1"/>
          <w:u w:val="single" w:color="auto"/>
          <w:color w:val="auto"/>
        </w:rPr>
        <w:t>Description</w:t>
      </w:r>
    </w:p>
    <w:p>
      <w:pPr>
        <w:spacing w:after="0" w:line="229" w:lineRule="exact"/>
        <w:rPr>
          <w:sz w:val="20"/>
          <w:szCs w:val="20"/>
          <w:color w:val="auto"/>
        </w:rPr>
      </w:pPr>
    </w:p>
    <w:p>
      <w:pPr>
        <w:ind w:left="1480" w:hanging="1470"/>
        <w:spacing w:after="0" w:line="282" w:lineRule="auto"/>
        <w:tabs>
          <w:tab w:leader="none" w:pos="1460" w:val="left"/>
        </w:tabs>
        <w:rPr>
          <w:sz w:val="20"/>
          <w:szCs w:val="20"/>
          <w:color w:val="auto"/>
        </w:rPr>
      </w:pPr>
      <w:r>
        <w:rPr>
          <w:rFonts w:ascii="Times New Roman" w:cs="Times New Roman" w:eastAsia="Times New Roman" w:hAnsi="Times New Roman"/>
          <w:sz w:val="18"/>
          <w:szCs w:val="18"/>
          <w:color w:val="auto"/>
        </w:rPr>
        <w:t>Exhibit 10.1</w:t>
      </w:r>
      <w:r>
        <w:rPr>
          <w:sz w:val="20"/>
          <w:szCs w:val="20"/>
          <w:color w:val="auto"/>
        </w:rPr>
        <w:tab/>
      </w:r>
      <w:r>
        <w:rPr>
          <w:rFonts w:ascii="Times New Roman" w:cs="Times New Roman" w:eastAsia="Times New Roman" w:hAnsi="Times New Roman"/>
          <w:sz w:val="18"/>
          <w:szCs w:val="18"/>
          <w:u w:val="single" w:color="auto"/>
          <w:color w:val="0000EE"/>
        </w:rPr>
        <w:t>Fourth Amendment to the Amended and Restated BMO Wholesale Financing and Security Agreement, dated as of June 15, 2026, by and among RTC-Canada and BMO.</w:t>
      </w:r>
    </w:p>
    <w:p>
      <w:pPr>
        <w:spacing w:after="0" w:line="162"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color w:val="auto"/>
        </w:rPr>
        <w:t>Exhibit 104</w:t>
      </w:r>
      <w:r>
        <w:rPr>
          <w:sz w:val="20"/>
          <w:szCs w:val="20"/>
          <w:color w:val="auto"/>
        </w:rPr>
        <w:tab/>
      </w:r>
      <w:r>
        <w:rPr>
          <w:rFonts w:ascii="Times New Roman" w:cs="Times New Roman" w:eastAsia="Times New Roman" w:hAnsi="Times New Roman"/>
          <w:sz w:val="18"/>
          <w:szCs w:val="18"/>
          <w:color w:val="auto"/>
        </w:rPr>
        <w:t>Cover Page Interactive Data File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632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RUSH ENTERPRISES, INC.</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Dated: June 22, 2026</w:t>
            </w:r>
          </w:p>
        </w:tc>
        <w:tc>
          <w:tcPr>
            <w:tcW w:w="632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By: /s/ Michael Goldstone</w:t>
            </w:r>
          </w:p>
        </w:tc>
      </w:tr>
      <w:tr>
        <w:trPr>
          <w:trHeight w:val="191"/>
        </w:trPr>
        <w:tc>
          <w:tcPr>
            <w:tcW w:w="35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Michael Goldstone</w:t>
            </w:r>
          </w:p>
        </w:tc>
      </w:tr>
      <w:tr>
        <w:trPr>
          <w:trHeight w:val="216"/>
        </w:trPr>
        <w:tc>
          <w:tcPr>
            <w:tcW w:w="35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w w:val="99"/>
              </w:rPr>
              <w:t>Senior Vice President, General Counsel and Corporate</w:t>
            </w:r>
          </w:p>
        </w:tc>
      </w:tr>
      <w:tr>
        <w:trPr>
          <w:trHeight w:val="234"/>
        </w:trPr>
        <w:tc>
          <w:tcPr>
            <w:tcW w:w="35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bl>
    <w:p>
      <w:pPr>
        <w:sectPr>
          <w:pgSz w:w="11900" w:h="16838" w:orient="portrait"/>
          <w:cols w:equalWidth="0" w:num="1">
            <w:col w:w="11240"/>
          </w:cols>
          <w:pgMar w:left="320" w:top="33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200150" cy="445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0015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FOURTH AMENDMENT TO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AMENDED AND RESTATED BMO WHOLESALE FINANCING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FOURTH AMENDMENT TO THE AMENDED AND RESTATED BMO WHOLESALE FINANCING AND SECURITY AGREEMENT</w:t>
      </w:r>
    </w:p>
    <w:p>
      <w:pPr>
        <w:spacing w:after="0" w:line="3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is made as of and with effect from the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June 2026, between </w:t>
      </w:r>
      <w:r>
        <w:rPr>
          <w:rFonts w:ascii="Times New Roman" w:cs="Times New Roman" w:eastAsia="Times New Roman" w:hAnsi="Times New Roman"/>
          <w:sz w:val="18"/>
          <w:szCs w:val="18"/>
          <w:b w:val="1"/>
          <w:bCs w:val="1"/>
          <w:color w:val="auto"/>
        </w:rPr>
        <w:t>BANK OF MONTREAL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BMO</w:t>
      </w:r>
      <w:r>
        <w:rPr>
          <w:rFonts w:ascii="Times New Roman" w:cs="Times New Roman" w:eastAsia="Times New Roman" w:hAnsi="Times New Roman"/>
          <w:sz w:val="18"/>
          <w:szCs w:val="18"/>
          <w:color w:val="auto"/>
        </w:rPr>
        <w:t xml:space="preserve">”), as lender, </w:t>
      </w:r>
      <w:r>
        <w:rPr>
          <w:rFonts w:ascii="Times New Roman" w:cs="Times New Roman" w:eastAsia="Times New Roman" w:hAnsi="Times New Roman"/>
          <w:sz w:val="18"/>
          <w:szCs w:val="18"/>
          <w:b w:val="1"/>
          <w:bCs w:val="1"/>
          <w:color w:val="auto"/>
        </w:rPr>
        <w:t>RUSH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TRUCK CENTRES OF CANADA LIMITED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DEALER</w:t>
      </w:r>
      <w:r>
        <w:rPr>
          <w:rFonts w:ascii="Times New Roman" w:cs="Times New Roman" w:eastAsia="Times New Roman" w:hAnsi="Times New Roman"/>
          <w:sz w:val="18"/>
          <w:szCs w:val="18"/>
          <w:color w:val="auto"/>
        </w:rPr>
        <w:t>”), as borrower, and</w:t>
      </w:r>
      <w:r>
        <w:rPr>
          <w:rFonts w:ascii="Times New Roman" w:cs="Times New Roman" w:eastAsia="Times New Roman" w:hAnsi="Times New Roman"/>
          <w:sz w:val="18"/>
          <w:szCs w:val="18"/>
          <w:b w:val="1"/>
          <w:bCs w:val="1"/>
          <w:color w:val="auto"/>
        </w:rPr>
        <w:t xml:space="preserve"> RUSH ENTERPRISES, INC.</w:t>
      </w:r>
      <w:r>
        <w:rPr>
          <w:rFonts w:ascii="Times New Roman" w:cs="Times New Roman" w:eastAsia="Times New Roman" w:hAnsi="Times New Roman"/>
          <w:sz w:val="18"/>
          <w:szCs w:val="18"/>
          <w:color w:val="auto"/>
        </w:rPr>
        <w:t>, as guarantor (“</w:t>
      </w:r>
      <w:r>
        <w:rPr>
          <w:rFonts w:ascii="Times New Roman" w:cs="Times New Roman" w:eastAsia="Times New Roman" w:hAnsi="Times New Roman"/>
          <w:sz w:val="18"/>
          <w:szCs w:val="18"/>
          <w:b w:val="1"/>
          <w:bCs w:val="1"/>
          <w:color w:val="auto"/>
        </w:rPr>
        <w:t>HOLDINGS</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CONTEXT OF AGREEMENT</w:t>
      </w:r>
    </w:p>
    <w:p>
      <w:pPr>
        <w:spacing w:after="0" w:line="233" w:lineRule="exact"/>
        <w:rPr>
          <w:sz w:val="20"/>
          <w:szCs w:val="20"/>
          <w:color w:val="auto"/>
        </w:rPr>
      </w:pPr>
    </w:p>
    <w:p>
      <w:pPr>
        <w:jc w:val="both"/>
        <w:spacing w:after="0" w:line="188" w:lineRule="auto"/>
        <w:rPr>
          <w:sz w:val="20"/>
          <w:szCs w:val="20"/>
          <w:color w:val="auto"/>
        </w:rPr>
      </w:pPr>
      <w:r>
        <w:rPr>
          <w:rFonts w:ascii="Times New Roman" w:cs="Times New Roman" w:eastAsia="Times New Roman" w:hAnsi="Times New Roman"/>
          <w:sz w:val="18"/>
          <w:szCs w:val="18"/>
          <w:color w:val="auto"/>
        </w:rPr>
        <w:t>BMO and DEALER are parties to that certain First Amended and Restated BMO Wholesale Financing and Security Agreement dated the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July 2022 (as amended by the First Amendment to the Amended and Restated BMO Wholesale Financing and Security Agreement dated as of the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of June 2023, the Second Amendment to the Amended and Restated BMO Wholesale Financing and Security Agreement dated as of the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of June 2024,</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the Third Amendment to the Amended and Restated BMO Wholesale Financing and Security Agreement dated as of the 13</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June, 2025, and as further amended from time to time, the “Agreement”) and HOLDINGS has guaranteed the obligations of the Borrower to BMO pursuant to the Amended and Restated Guaranty Agreement dated as of July 15, 2022 (the “Guaranty”).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parties hereto desire to amend the Agreement in certain respects on and subject to the terms and conditions hereof.</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premises and the mutual covenants hereinafter contained, and intending to be legally bound,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agree to amend the Agreement, without novation, as follows:</w:t>
      </w:r>
    </w:p>
    <w:p>
      <w:pPr>
        <w:spacing w:after="0" w:line="155"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INTERPRETATION</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1.1 Definitions </w:t>
      </w:r>
      <w:r>
        <w:rPr>
          <w:rFonts w:ascii="Times New Roman" w:cs="Times New Roman" w:eastAsia="Times New Roman" w:hAnsi="Times New Roman"/>
          <w:sz w:val="18"/>
          <w:szCs w:val="18"/>
          <w:color w:val="auto"/>
        </w:rPr>
        <w:t>— In this Amendment, terms used and not otherwise defined herein have the meanings ascribed to them in the Agreement.</w:t>
      </w:r>
    </w:p>
    <w:p>
      <w:pPr>
        <w:spacing w:after="0" w:line="200" w:lineRule="exact"/>
        <w:rPr>
          <w:rFonts w:ascii="Times New Roman" w:cs="Times New Roman" w:eastAsia="Times New Roman" w:hAnsi="Times New Roman"/>
          <w:sz w:val="18"/>
          <w:szCs w:val="18"/>
          <w:b w:val="1"/>
          <w:bCs w:val="1"/>
          <w:color w:val="auto"/>
        </w:rPr>
      </w:pPr>
    </w:p>
    <w:p>
      <w:pPr>
        <w:spacing w:after="0" w:line="295" w:lineRule="exact"/>
        <w:rPr>
          <w:rFonts w:ascii="Times New Roman" w:cs="Times New Roman" w:eastAsia="Times New Roman" w:hAnsi="Times New Roman"/>
          <w:sz w:val="18"/>
          <w:szCs w:val="18"/>
          <w:b w:val="1"/>
          <w:bCs w:val="1"/>
          <w:color w:val="auto"/>
        </w:rPr>
      </w:pPr>
    </w:p>
    <w:p>
      <w:pPr>
        <w:ind w:left="980" w:hanging="324"/>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1.2 Headings </w:t>
      </w:r>
      <w:r>
        <w:rPr>
          <w:rFonts w:ascii="Times New Roman" w:cs="Times New Roman" w:eastAsia="Times New Roman" w:hAnsi="Times New Roman"/>
          <w:sz w:val="18"/>
          <w:szCs w:val="18"/>
          <w:color w:val="auto"/>
        </w:rPr>
        <w:t>— The Headings and the Section titles are inserted for convenience of reference only and shall not affect the construction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interpretation of this Amendment.</w:t>
      </w:r>
    </w:p>
    <w:p>
      <w:pPr>
        <w:spacing w:after="0" w:line="208"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w:t>
      </w:r>
    </w:p>
    <w:p>
      <w:pPr>
        <w:spacing w:after="0" w:line="225" w:lineRule="exact"/>
        <w:rPr>
          <w:rFonts w:ascii="Times New Roman" w:cs="Times New Roman" w:eastAsia="Times New Roman" w:hAnsi="Times New Roman"/>
          <w:sz w:val="18"/>
          <w:szCs w:val="18"/>
          <w:b w:val="1"/>
          <w:bCs w:val="1"/>
          <w:color w:val="auto"/>
        </w:rPr>
      </w:pPr>
    </w:p>
    <w:p>
      <w:pPr>
        <w:ind w:left="980" w:hanging="324"/>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2.1 Credit Commitment</w:t>
      </w:r>
      <w:r>
        <w:rPr>
          <w:rFonts w:ascii="Times New Roman" w:cs="Times New Roman" w:eastAsia="Times New Roman" w:hAnsi="Times New Roman"/>
          <w:sz w:val="18"/>
          <w:szCs w:val="18"/>
          <w:color w:val="auto"/>
        </w:rPr>
        <w:t>. The definition for the term “Credit Commitment” included in Schedule A of the Agreement shall be deleted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replaced with the following text:</w:t>
      </w:r>
    </w:p>
    <w:p>
      <w:pPr>
        <w:spacing w:after="0" w:line="213"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“means the commitment of BMO to make Discretionary, Revolving Demand Advances available to DEALER from time to time on a revolving basis up to the aggregate maximum principal amount of $194,700,000 CAD, subject to any increases or reductions thereof pursuant to the terms of the Agreement.”</w:t>
      </w:r>
    </w:p>
    <w:p>
      <w:pPr>
        <w:spacing w:after="0" w:line="172" w:lineRule="exact"/>
        <w:rPr>
          <w:sz w:val="20"/>
          <w:szCs w:val="20"/>
          <w:color w:val="auto"/>
        </w:rPr>
      </w:pPr>
    </w:p>
    <w:p>
      <w:pPr>
        <w:ind w:left="980" w:hanging="323"/>
        <w:spacing w:after="0" w:line="286" w:lineRule="auto"/>
        <w:rPr>
          <w:sz w:val="20"/>
          <w:szCs w:val="20"/>
          <w:color w:val="auto"/>
        </w:rPr>
      </w:pPr>
      <w:r>
        <w:rPr>
          <w:rFonts w:ascii="Times New Roman" w:cs="Times New Roman" w:eastAsia="Times New Roman" w:hAnsi="Times New Roman"/>
          <w:sz w:val="18"/>
          <w:szCs w:val="18"/>
          <w:b w:val="1"/>
          <w:bCs w:val="1"/>
          <w:color w:val="auto"/>
        </w:rPr>
        <w:t>2.2 Credit Limit</w:t>
      </w:r>
      <w:r>
        <w:rPr>
          <w:rFonts w:ascii="Times New Roman" w:cs="Times New Roman" w:eastAsia="Times New Roman" w:hAnsi="Times New Roman"/>
          <w:sz w:val="18"/>
          <w:szCs w:val="18"/>
          <w:color w:val="auto"/>
        </w:rPr>
        <w:t>. The definition for the term “Credit Limit” included in Schedule A of the Agreement shall be deleted and replaced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text:</w:t>
      </w:r>
    </w:p>
    <w:p>
      <w:pPr>
        <w:spacing w:after="0" w:line="213" w:lineRule="exact"/>
        <w:rPr>
          <w:sz w:val="20"/>
          <w:szCs w:val="20"/>
          <w:color w:val="auto"/>
        </w:rPr>
      </w:pPr>
    </w:p>
    <w:p>
      <w:pPr>
        <w:ind w:left="1040"/>
        <w:spacing w:after="0" w:line="282" w:lineRule="auto"/>
        <w:rPr>
          <w:sz w:val="20"/>
          <w:szCs w:val="20"/>
          <w:color w:val="auto"/>
        </w:rPr>
      </w:pPr>
      <w:r>
        <w:rPr>
          <w:rFonts w:ascii="Times New Roman" w:cs="Times New Roman" w:eastAsia="Times New Roman" w:hAnsi="Times New Roman"/>
          <w:sz w:val="18"/>
          <w:szCs w:val="18"/>
          <w:color w:val="auto"/>
        </w:rPr>
        <w:t>“means Advances in an aggregate principal amount at any one time outstanding not to exceed $194,700,000 CAD subject to any increases or reductions thereof pursuant to the terms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6663055</wp:posOffset>
            </wp:positionH>
            <wp:positionV relativeFrom="page">
              <wp:posOffset>88900</wp:posOffset>
            </wp:positionV>
            <wp:extent cx="676910" cy="265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676910" cy="265430"/>
                    </a:xfrm>
                    <a:prstGeom prst="rect">
                      <a:avLst/>
                    </a:prstGeom>
                    <a:noFill/>
                  </pic:spPr>
                </pic:pic>
              </a:graphicData>
            </a:graphic>
          </wp:anchor>
        </w:drawing>
        <w:t>GENERAL</w:t>
      </w:r>
    </w:p>
    <w:p>
      <w:pPr>
        <w:spacing w:after="0" w:line="225" w:lineRule="exact"/>
        <w:rPr>
          <w:rFonts w:ascii="Times New Roman" w:cs="Times New Roman" w:eastAsia="Times New Roman" w:hAnsi="Times New Roman"/>
          <w:sz w:val="18"/>
          <w:szCs w:val="18"/>
          <w:b w:val="1"/>
          <w:bCs w:val="1"/>
          <w:color w:val="auto"/>
        </w:rPr>
      </w:pPr>
    </w:p>
    <w:p>
      <w:pPr>
        <w:ind w:left="980" w:hanging="324"/>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3.1 Effective Date </w:t>
      </w:r>
      <w:r>
        <w:rPr>
          <w:rFonts w:ascii="Times New Roman" w:cs="Times New Roman" w:eastAsia="Times New Roman" w:hAnsi="Times New Roman"/>
          <w:sz w:val="18"/>
          <w:szCs w:val="18"/>
          <w:color w:val="auto"/>
        </w:rPr>
        <w:t>— This Amendment will take effect as of June 15, 2026, and will govern the relationship of the parties in respect to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matter on and after such date.</w:t>
      </w:r>
    </w:p>
    <w:p>
      <w:pPr>
        <w:spacing w:after="0" w:line="208" w:lineRule="exact"/>
        <w:rPr>
          <w:rFonts w:ascii="Times New Roman" w:cs="Times New Roman" w:eastAsia="Times New Roman" w:hAnsi="Times New Roman"/>
          <w:sz w:val="18"/>
          <w:szCs w:val="18"/>
          <w:b w:val="1"/>
          <w:bCs w:val="1"/>
          <w:color w:val="auto"/>
        </w:rPr>
      </w:pPr>
    </w:p>
    <w:p>
      <w:pPr>
        <w:jc w:val="right"/>
        <w:ind w:left="980" w:hanging="324"/>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3.2 No Novation </w:t>
      </w:r>
      <w:r>
        <w:rPr>
          <w:rFonts w:ascii="Times New Roman" w:cs="Times New Roman" w:eastAsia="Times New Roman" w:hAnsi="Times New Roman"/>
          <w:sz w:val="18"/>
          <w:szCs w:val="18"/>
          <w:color w:val="auto"/>
        </w:rPr>
        <w:t>— This Amendment is not intended to constitute, and does not constitute, a novation of the obligations and liabilities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the Existing Security (including the Liabilities) or to evidence payment of all or any portion of such obligations and liabilities. This Agreement shall not in any way release or impair the rights, duties, obligations, Liabilities (as defined in the Agreement) or Liens (as defined in the Agreement) created pursuant to the Existing Security or affect the relative priorities thereof, in each case to the extent in force and effect thereunder as of the Amendment Date and except as modified hereby or by documents, instruments and agreements executed and delivered in connection herewith and all of such rights, duties, Liabilities and Liens are assumed, ratified and affirmed by DEALER and</w:t>
      </w:r>
    </w:p>
    <w:p>
      <w:pPr>
        <w:spacing w:after="0" w:line="3"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GUARANTOR.</w:t>
      </w:r>
    </w:p>
    <w:p>
      <w:pPr>
        <w:spacing w:after="0" w:line="202"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3.3 Binding Nature </w:t>
      </w:r>
      <w:r>
        <w:rPr>
          <w:rFonts w:ascii="Times New Roman" w:cs="Times New Roman" w:eastAsia="Times New Roman" w:hAnsi="Times New Roman"/>
          <w:sz w:val="18"/>
          <w:szCs w:val="18"/>
          <w:color w:val="auto"/>
        </w:rPr>
        <w:t>— This Amendment will be binding upon and inure to the benefit of the successors and assigns of the parties hereto.</w:t>
      </w:r>
    </w:p>
    <w:p>
      <w:pPr>
        <w:spacing w:after="0" w:line="200" w:lineRule="exact"/>
        <w:rPr>
          <w:rFonts w:ascii="Times New Roman" w:cs="Times New Roman" w:eastAsia="Times New Roman" w:hAnsi="Times New Roman"/>
          <w:sz w:val="18"/>
          <w:szCs w:val="18"/>
          <w:b w:val="1"/>
          <w:bCs w:val="1"/>
          <w:color w:val="auto"/>
        </w:rPr>
      </w:pPr>
    </w:p>
    <w:p>
      <w:pPr>
        <w:spacing w:after="0" w:line="295" w:lineRule="exact"/>
        <w:rPr>
          <w:rFonts w:ascii="Times New Roman" w:cs="Times New Roman" w:eastAsia="Times New Roman" w:hAnsi="Times New Roman"/>
          <w:sz w:val="18"/>
          <w:szCs w:val="18"/>
          <w:b w:val="1"/>
          <w:bCs w:val="1"/>
          <w:color w:val="auto"/>
        </w:rPr>
      </w:pPr>
    </w:p>
    <w:p>
      <w:pPr>
        <w:ind w:left="980" w:hanging="324"/>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3.4 Entire Agreement </w:t>
      </w:r>
      <w:r>
        <w:rPr>
          <w:rFonts w:ascii="Times New Roman" w:cs="Times New Roman" w:eastAsia="Times New Roman" w:hAnsi="Times New Roman"/>
          <w:sz w:val="18"/>
          <w:szCs w:val="18"/>
          <w:color w:val="auto"/>
        </w:rPr>
        <w:t>— This Amendment sets forth the entire agreement of the parties with respect to the subject matter of the amendment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herein, and shall supersede any prior negotiations or agreements, whether written or oral, with respect thereto.</w:t>
      </w:r>
    </w:p>
    <w:p>
      <w:pPr>
        <w:spacing w:after="0" w:line="208" w:lineRule="exact"/>
        <w:rPr>
          <w:rFonts w:ascii="Times New Roman" w:cs="Times New Roman" w:eastAsia="Times New Roman" w:hAnsi="Times New Roman"/>
          <w:sz w:val="18"/>
          <w:szCs w:val="18"/>
          <w:b w:val="1"/>
          <w:bCs w:val="1"/>
          <w:color w:val="auto"/>
        </w:rPr>
      </w:pPr>
    </w:p>
    <w:p>
      <w:pPr>
        <w:ind w:left="980" w:hanging="324"/>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3.5 Governing Law </w:t>
      </w:r>
      <w:r>
        <w:rPr>
          <w:rFonts w:ascii="Times New Roman" w:cs="Times New Roman" w:eastAsia="Times New Roman" w:hAnsi="Times New Roman"/>
          <w:sz w:val="18"/>
          <w:szCs w:val="18"/>
          <w:color w:val="auto"/>
        </w:rPr>
        <w:t>— This Amendment is and will be governed, construed and enforced in accordance with the laws of the Province of Ontario,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reference to conflict of laws principles. DEALER consents to the exclusive jurisdiction of the courts of the Province of Ontario for all purposes in connection with this Agreement.</w:t>
      </w:r>
    </w:p>
    <w:p>
      <w:pPr>
        <w:spacing w:after="0" w:line="170" w:lineRule="exact"/>
        <w:rPr>
          <w:rFonts w:ascii="Times New Roman" w:cs="Times New Roman" w:eastAsia="Times New Roman" w:hAnsi="Times New Roman"/>
          <w:sz w:val="18"/>
          <w:szCs w:val="18"/>
          <w:b w:val="1"/>
          <w:bCs w:val="1"/>
          <w:color w:val="auto"/>
        </w:rPr>
      </w:pPr>
    </w:p>
    <w:p>
      <w:pPr>
        <w:ind w:left="980" w:hanging="324"/>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3.6 Reliance; Counterparts </w:t>
      </w:r>
      <w:r>
        <w:rPr>
          <w:rFonts w:ascii="Times New Roman" w:cs="Times New Roman" w:eastAsia="Times New Roman" w:hAnsi="Times New Roman"/>
          <w:sz w:val="18"/>
          <w:szCs w:val="18"/>
          <w:color w:val="auto"/>
        </w:rPr>
        <w:t>— Notwithstanding anything herein to the contrary, BMO may rely on any facsimile copy, electronic data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transmission, or electronic data storage of this Amendment, which will be deemed an original, and the best evidence thereof for all purposes. This Agreement may be validly executed in one or more counterparts, each of which, when taken together, will constitute a single agreement binding upon all the parties hereto.</w:t>
      </w:r>
    </w:p>
    <w:p>
      <w:pPr>
        <w:spacing w:after="0" w:line="39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BANK OF MONTREAL</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By:/s/ Paul DeMarchi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17145</wp:posOffset>
            </wp:positionV>
            <wp:extent cx="32486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Name: Paul DeMarchi</w:t>
      </w:r>
    </w:p>
    <w:p>
      <w:pPr>
        <w:spacing w:after="0" w:line="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signature of authorized officer</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RUSH TRUCK CENTRES OF CANADA LIMITED</w:t>
            </w:r>
          </w:p>
        </w:tc>
        <w:tc>
          <w:tcPr>
            <w:tcW w:w="584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RUSH ENTERPRISES, INC.</w:t>
            </w:r>
          </w:p>
        </w:tc>
      </w:tr>
      <w:tr>
        <w:trPr>
          <w:trHeight w:val="432"/>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Kevin Tallma</w:t>
            </w:r>
          </w:p>
        </w:tc>
        <w:tc>
          <w:tcPr>
            <w:tcW w:w="5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By: /s/ Steven L. Keller</w:t>
            </w:r>
          </w:p>
        </w:tc>
      </w:tr>
      <w:tr>
        <w:trPr>
          <w:trHeight w:val="191"/>
        </w:trPr>
        <w:tc>
          <w:tcPr>
            <w:tcW w:w="340" w:type="dxa"/>
            <w:vAlign w:val="bottom"/>
          </w:tcPr>
          <w:p>
            <w:pPr>
              <w:spacing w:after="0"/>
              <w:rPr>
                <w:sz w:val="16"/>
                <w:szCs w:val="16"/>
                <w:color w:val="auto"/>
              </w:rPr>
            </w:pPr>
          </w:p>
        </w:tc>
        <w:tc>
          <w:tcPr>
            <w:tcW w:w="50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Kevin Tallman</w:t>
            </w:r>
          </w:p>
        </w:tc>
        <w:tc>
          <w:tcPr>
            <w:tcW w:w="800" w:type="dxa"/>
            <w:vAlign w:val="bottom"/>
          </w:tcPr>
          <w:p>
            <w:pPr>
              <w:spacing w:after="0"/>
              <w:rPr>
                <w:sz w:val="16"/>
                <w:szCs w:val="16"/>
                <w:color w:val="auto"/>
              </w:rPr>
            </w:pP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Steven L. Keller</w:t>
            </w:r>
          </w:p>
        </w:tc>
      </w:tr>
      <w:tr>
        <w:trPr>
          <w:trHeight w:val="216"/>
        </w:trPr>
        <w:tc>
          <w:tcPr>
            <w:tcW w:w="54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Title:  Chief Executive Officer</w:t>
            </w:r>
          </w:p>
        </w:tc>
        <w:tc>
          <w:tcPr>
            <w:tcW w:w="80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 and Treasurer</w:t>
            </w:r>
          </w:p>
        </w:tc>
      </w:tr>
      <w:tr>
        <w:trPr>
          <w:trHeight w:val="234"/>
        </w:trPr>
        <w:tc>
          <w:tcPr>
            <w:tcW w:w="340" w:type="dxa"/>
            <w:vAlign w:val="bottom"/>
          </w:tcPr>
          <w:p>
            <w:pPr>
              <w:spacing w:after="0"/>
              <w:rPr>
                <w:sz w:val="20"/>
                <w:szCs w:val="20"/>
                <w:color w:val="auto"/>
              </w:rPr>
            </w:pPr>
          </w:p>
        </w:tc>
        <w:tc>
          <w:tcPr>
            <w:tcW w:w="5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signature of authorized officer</w:t>
            </w:r>
          </w:p>
        </w:tc>
        <w:tc>
          <w:tcPr>
            <w:tcW w:w="800" w:type="dxa"/>
            <w:vAlign w:val="bottom"/>
          </w:tcPr>
          <w:p>
            <w:pPr>
              <w:spacing w:after="0"/>
              <w:rPr>
                <w:sz w:val="20"/>
                <w:szCs w:val="20"/>
                <w:color w:val="auto"/>
              </w:rPr>
            </w:pPr>
          </w:p>
        </w:tc>
        <w:tc>
          <w:tcPr>
            <w:tcW w:w="50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signature of authorized officer</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6663055</wp:posOffset>
            </wp:positionH>
            <wp:positionV relativeFrom="page">
              <wp:posOffset>88900</wp:posOffset>
            </wp:positionV>
            <wp:extent cx="676910" cy="265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676910" cy="26543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240"/>
      </w:cols>
      <w:pgMar w:left="320" w:top="75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2026-06-22T16:39:35Z</dcterms:created>
  <dcterms:modified xsi:type="dcterms:W3CDTF">2026-06-22T16:39:35Z</dcterms:modified>
</cp:coreProperties>
</file>