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52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RUSH WILLIAM M RUSTY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IH 35 SOUTH, SUITE 500</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NEW</w:t>
      </w:r>
      <w:r>
        <w:rPr>
          <w:rFonts w:ascii="Times New Roman" w:cs="Times New Roman" w:eastAsia="Times New Roman" w:hAnsi="Times New Roman"/>
          <w:sz w:val="17"/>
          <w:szCs w:val="17"/>
          <w:color w:val="0000FF"/>
        </w:rPr>
        <w:t xml:space="preserve"> TX 78130 BRAUNFELS</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RUSH ENTERPRISES INC \TX\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RUSHA</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CEO, President and COB</w:t>
            </w:r>
          </w:p>
        </w:tc>
        <w:tc>
          <w:tcPr>
            <w:tcW w:w="0" w:type="dxa"/>
            <w:vAlign w:val="bottom"/>
          </w:tcPr>
          <w:p>
            <w:pPr>
              <w:spacing w:after="0" w:line="20" w:lineRule="exact"/>
              <w:rPr>
                <w:sz w:val="1"/>
                <w:szCs w:val="1"/>
                <w:color w:val="auto"/>
              </w:rPr>
            </w:pPr>
          </w:p>
        </w:tc>
      </w:tr>
      <w:tr>
        <w:trPr>
          <w:trHeight w:val="226"/>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3MR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06/06/2024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137,897.93</w:t>
            </w:r>
          </w:p>
        </w:tc>
        <w:tc>
          <w:tcPr>
            <w:tcW w:w="32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tcPr>
          <w:p>
            <w:pPr>
              <w:jc w:val="center"/>
              <w:ind w:left="47"/>
              <w:spacing w:after="0" w:line="213" w:lineRule="exact"/>
              <w:rPr>
                <w:sz w:val="20"/>
                <w:szCs w:val="20"/>
                <w:color w:val="auto"/>
              </w:rPr>
            </w:pPr>
            <w:r>
              <w:rPr>
                <w:rFonts w:ascii="Times New Roman" w:cs="Times New Roman" w:eastAsia="Times New Roman" w:hAnsi="Times New Roman"/>
                <w:sz w:val="17"/>
                <w:szCs w:val="17"/>
                <w:color w:val="0000FF"/>
                <w:w w:val="98"/>
              </w:rPr>
              <w:t>6,612,102.1</w:t>
            </w:r>
            <w:r>
              <w:rPr>
                <w:rFonts w:ascii="Times New Roman" w:cs="Times New Roman" w:eastAsia="Times New Roman" w:hAnsi="Times New Roman"/>
                <w:sz w:val="22"/>
                <w:szCs w:val="22"/>
                <w:color w:val="008000"/>
                <w:w w:val="98"/>
                <w:vertAlign w:val="superscript"/>
              </w:rPr>
              <w:t>(2)</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3MR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rPr>
              <w:t>6,184.5</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27"/>
              <w:spacing w:after="0"/>
              <w:rPr>
                <w:sz w:val="20"/>
                <w:szCs w:val="20"/>
                <w:color w:val="auto"/>
              </w:rPr>
            </w:pPr>
            <w:r>
              <w:rPr>
                <w:rFonts w:ascii="Times New Roman" w:cs="Times New Roman" w:eastAsia="Times New Roman" w:hAnsi="Times New Roman"/>
                <w:sz w:val="17"/>
                <w:szCs w:val="17"/>
                <w:color w:val="0000FF"/>
                <w:w w:val="96"/>
              </w:rPr>
              <w:t>174,154.5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center"/>
              <w:ind w:left="27"/>
              <w:spacing w:after="0"/>
              <w:rPr>
                <w:sz w:val="20"/>
                <w:szCs w:val="20"/>
                <w:color w:val="auto"/>
              </w:rPr>
            </w:pPr>
            <w:r>
              <w:rPr>
                <w:rFonts w:ascii="Times New Roman" w:cs="Times New Roman" w:eastAsia="Times New Roman" w:hAnsi="Times New Roman"/>
                <w:sz w:val="17"/>
                <w:szCs w:val="17"/>
                <w:color w:val="0000FF"/>
                <w:w w:val="96"/>
              </w:rPr>
              <w:t>767,295</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discloses an in-kind distribution to a limited partner of 3MR Partners, L.P. for no consideration.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amount of shares disclosed in this Form 4 as being distributed to a limited partner, the shares reported have also been decreased by an additional 6,185 shares to reflect the number of shares that the issuer's transfer agent has in its records after the 3-for-2 stock split that occurred on August 28,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certain shares included in the Company's deferred compensation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and certain shares included in the Company's deferred compensation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Steven L. Keller, Attorney</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06/10/2024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 for W.M. "Rusty" Rush</w:t>
            </w: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6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1953" TargetMode="External"/><Relationship Id="rId13" Type="http://schemas.openxmlformats.org/officeDocument/2006/relationships/hyperlink" Target="http://www.sec.gov/cgi-bin/browse-edgar?action=getcompany&amp;CIK=000101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2024-06-10T18:24:54Z</dcterms:created>
  <dcterms:modified xsi:type="dcterms:W3CDTF">2024-06-10T18:24:54Z</dcterms:modified>
</cp:coreProperties>
</file>