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362585</wp:posOffset>
            </wp:positionV>
            <wp:extent cx="28460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FOR REGISTRATION OF CERTAIN CLASSES OF SECURITIES</w:t>
      </w:r>
    </w:p>
    <w:p>
      <w:pPr>
        <w:spacing w:after="0" w:line="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SECTION 12(b) OR (g) OF THE</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348615</wp:posOffset>
            </wp:positionV>
            <wp:extent cx="2846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Rush Enterprises, Inc.</w:t>
      </w:r>
    </w:p>
    <w:p>
      <w:pPr>
        <w:spacing w:after="0" w:line="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347345</wp:posOffset>
            </wp:positionV>
            <wp:extent cx="2846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ectPr>
          <w:pgSz w:w="11900" w:h="16838" w:orient="portrait"/>
          <w:cols w:equalWidth="0" w:num="1">
            <w:col w:w="11140"/>
          </w:cols>
          <w:pgMar w:left="320" w:top="500"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Texas</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74-1733016</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6480" w:space="720"/>
            <w:col w:w="3940"/>
          </w:cols>
          <w:pgMar w:left="320" w:top="500" w:right="439" w:bottom="1440" w:gutter="0" w:footer="0" w:header="0"/>
          <w:type w:val="continuous"/>
        </w:sectPr>
      </w:pPr>
    </w:p>
    <w:p>
      <w:pPr>
        <w:spacing w:after="0" w:line="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555 IH-35 South, Suite 500</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Braunfels, Texas 78130</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348615</wp:posOffset>
            </wp:positionV>
            <wp:extent cx="28460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w:t>
            </w:r>
          </w:p>
        </w:tc>
        <w:tc>
          <w:tcPr>
            <w:tcW w:w="5380" w:type="dxa"/>
            <w:vAlign w:val="bottom"/>
          </w:tcPr>
          <w:p>
            <w:pPr>
              <w:spacing w:after="0"/>
              <w:rPr>
                <w:sz w:val="20"/>
                <w:szCs w:val="20"/>
                <w:color w:val="auto"/>
              </w:rPr>
            </w:pPr>
          </w:p>
        </w:tc>
      </w:tr>
      <w:tr>
        <w:trPr>
          <w:trHeight w:val="414"/>
        </w:trPr>
        <w:tc>
          <w:tcPr>
            <w:tcW w:w="1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53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120" w:type="dxa"/>
            <w:vAlign w:val="bottom"/>
          </w:tcPr>
          <w:p>
            <w:pPr>
              <w:spacing w:after="0"/>
              <w:rPr>
                <w:sz w:val="20"/>
                <w:szCs w:val="20"/>
                <w:color w:val="auto"/>
              </w:rPr>
            </w:pPr>
          </w:p>
        </w:tc>
        <w:tc>
          <w:tcPr>
            <w:tcW w:w="564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9"/>
              </w:rPr>
              <w:t>Title of each class to be so registered</w:t>
            </w:r>
          </w:p>
        </w:tc>
        <w:tc>
          <w:tcPr>
            <w:tcW w:w="538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9"/>
              </w:rPr>
              <w:t>each class is to be registered</w:t>
            </w:r>
          </w:p>
        </w:tc>
      </w:tr>
      <w:tr>
        <w:trPr>
          <w:trHeight w:val="191"/>
        </w:trPr>
        <w:tc>
          <w:tcPr>
            <w:tcW w:w="120" w:type="dxa"/>
            <w:vAlign w:val="bottom"/>
          </w:tcPr>
          <w:p>
            <w:pPr>
              <w:spacing w:after="0"/>
              <w:rPr>
                <w:sz w:val="16"/>
                <w:szCs w:val="16"/>
                <w:color w:val="auto"/>
              </w:rPr>
            </w:pPr>
          </w:p>
        </w:tc>
        <w:tc>
          <w:tcPr>
            <w:tcW w:w="5640" w:type="dxa"/>
            <w:vAlign w:val="bottom"/>
          </w:tcPr>
          <w:p>
            <w:pPr>
              <w:jc w:val="center"/>
              <w:ind w:right="43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 per share</w:t>
            </w:r>
          </w:p>
        </w:tc>
        <w:tc>
          <w:tcPr>
            <w:tcW w:w="5380" w:type="dxa"/>
            <w:vAlign w:val="bottom"/>
          </w:tcPr>
          <w:p>
            <w:pPr>
              <w:jc w:val="center"/>
              <w:ind w:right="450"/>
              <w:spacing w:after="0" w:line="191" w:lineRule="exact"/>
              <w:rPr>
                <w:sz w:val="20"/>
                <w:szCs w:val="20"/>
                <w:color w:val="auto"/>
              </w:rPr>
            </w:pPr>
            <w:r>
              <w:rPr>
                <w:rFonts w:ascii="Times New Roman" w:cs="Times New Roman" w:eastAsia="Times New Roman" w:hAnsi="Times New Roman"/>
                <w:sz w:val="18"/>
                <w:szCs w:val="18"/>
                <w:color w:val="auto"/>
                <w:w w:val="99"/>
              </w:rPr>
              <w:t>Nasdaq Texas, LLC</w:t>
            </w:r>
          </w:p>
        </w:tc>
      </w:tr>
      <w:tr>
        <w:trPr>
          <w:trHeight w:val="234"/>
        </w:trPr>
        <w:tc>
          <w:tcPr>
            <w:tcW w:w="120" w:type="dxa"/>
            <w:vAlign w:val="bottom"/>
          </w:tcPr>
          <w:p>
            <w:pPr>
              <w:spacing w:after="0"/>
              <w:rPr>
                <w:sz w:val="20"/>
                <w:szCs w:val="20"/>
                <w:color w:val="auto"/>
              </w:rPr>
            </w:pPr>
          </w:p>
        </w:tc>
        <w:tc>
          <w:tcPr>
            <w:tcW w:w="56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Class B Common Stock, par value $0.01 per share</w:t>
            </w:r>
          </w:p>
        </w:tc>
        <w:tc>
          <w:tcPr>
            <w:tcW w:w="53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Nasdaq Texas, LLC</w:t>
            </w:r>
          </w:p>
        </w:tc>
      </w:tr>
    </w:tbl>
    <w:p>
      <w:pPr>
        <w:spacing w:after="0" w:line="200" w:lineRule="exact"/>
        <w:rPr>
          <w:sz w:val="24"/>
          <w:szCs w:val="24"/>
          <w:color w:val="auto"/>
        </w:rPr>
      </w:pPr>
    </w:p>
    <w:p>
      <w:pPr>
        <w:spacing w:after="0" w:line="214" w:lineRule="exact"/>
        <w:rPr>
          <w:sz w:val="24"/>
          <w:szCs w:val="24"/>
          <w:color w:val="auto"/>
        </w:rPr>
      </w:pPr>
    </w:p>
    <w:p>
      <w:pPr>
        <w:jc w:val="both"/>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Act registration statement file number to which this form relates: N/A</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00"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registration statement on Form 8-A is being filed by Rush Enterprises, Inc., a Texas corporation (the “Company”), in connection with the dual listing of the Company’s Class A common stock, par value $0.01 per share and Class B common stock, par value $0.01 (collectively, the “Common Stock”), with Nasdaq Texas, LLC (“Nasdaq Texas”), under the ticker symbols “RUSHA” and “RUSHB,” respectively. The Company’s Common Stock is currently listed on the Nasdaq Global Select Market tier of The Nasdaq Stock Market LLC, under the ticker symbols “RUSHA” and “RUSHB.”</w:t>
      </w:r>
    </w:p>
    <w:p>
      <w:pPr>
        <w:spacing w:after="0" w:line="17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Description of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Securities to be Registered.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description of the Company’s Common Stock, as set forth in Exhibit 4.3 to the Company’s Annual Report on Form 10-K for the year ended December 31, 2025, filed with the Securities and Exchange Commission on February 25, 2026, is incorporated herein by reference.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the listing and trading of the Common Stock on Nasdaq Texas to commence on July 1, 2026, under the ticker symbols “RUSHA” and “RUSHB.”</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Instructions as to exhibits for Form 8-A, no exhibits are required to be filed because no other securities of the Company are registered on Nasdaq Texas and the securities registered hereby are not being registered pursuant to Section 12(g)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04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RUSH ENTERPRISES,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June 30, 2026</w:t>
            </w:r>
          </w:p>
        </w:tc>
        <w:tc>
          <w:tcPr>
            <w:tcW w:w="704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Michael Goldstone</w:t>
            </w:r>
          </w:p>
        </w:tc>
      </w:tr>
      <w:tr>
        <w:trPr>
          <w:trHeight w:val="191"/>
        </w:trPr>
        <w:tc>
          <w:tcPr>
            <w:tcW w:w="35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Goldstone</w:t>
            </w:r>
          </w:p>
        </w:tc>
        <w:tc>
          <w:tcPr>
            <w:tcW w:w="720" w:type="dxa"/>
            <w:vAlign w:val="bottom"/>
          </w:tcPr>
          <w:p>
            <w:pPr>
              <w:spacing w:after="0"/>
              <w:rPr>
                <w:sz w:val="16"/>
                <w:szCs w:val="16"/>
                <w:color w:val="auto"/>
              </w:rPr>
            </w:pPr>
          </w:p>
        </w:tc>
      </w:tr>
      <w:tr>
        <w:trPr>
          <w:trHeight w:val="234"/>
        </w:trPr>
        <w:tc>
          <w:tcPr>
            <w:tcW w:w="3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Senior Vice President, General Counsel and Corporate Secretary</w:t>
            </w:r>
          </w:p>
        </w:tc>
      </w:tr>
    </w:tbl>
    <w:p>
      <w:pPr>
        <w:spacing w:after="0" w:line="1" w:lineRule="exact"/>
        <w:rPr>
          <w:sz w:val="20"/>
          <w:szCs w:val="20"/>
          <w:color w:val="auto"/>
        </w:rPr>
      </w:pPr>
    </w:p>
    <w:sectPr>
      <w:pgSz w:w="11900" w:h="16838" w:orient="portrait"/>
      <w:cols w:equalWidth="0" w:num="1">
        <w:col w:w="11220"/>
      </w:cols>
      <w:pgMar w:left="320" w:top="33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2026-06-30T15:48:32Z</dcterms:created>
  <dcterms:modified xsi:type="dcterms:W3CDTF">2026-06-30T15:48:32Z</dcterms:modified>
</cp:coreProperties>
</file>