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95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McRoberts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RUSHA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8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Advisor and Director</w:t>
            </w: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7.84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19,771.298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58.5202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15,771.298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7.84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298.3984 shares acquired on July 1, 2024, and 252.5788 shares acquired on January 1, 2025, under the Rush Enterprises, Inc. Employee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may be exercised in increments of 1/3 on each anniversary of the grant date beginning on the third anniversary of the grant date. The grant date is ten years prior to the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Steven L. Keller, Attorney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02/21/2025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 Fact for Michael McRoberts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2136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2025-02-21T17:04:27Z</dcterms:created>
  <dcterms:modified xsi:type="dcterms:W3CDTF">2025-02-21T17:04:27Z</dcterms:modified>
</cp:coreProperties>
</file>