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Goldstone Michael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RUSHA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 and Corp.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7,875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12.04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20,112.858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7,875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51.25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12,237.858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Options may be exercised in increments of 1/3 on each anniversary of the grant date beginning on the third anniversary of the grant date. The grant date is ten years prior to the expiration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D. Willcox,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344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 L. 08/12/2024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Goldstone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40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3250" TargetMode="External"/><Relationship Id="rId13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2024-08-12T17:48:19Z</dcterms:created>
  <dcterms:modified xsi:type="dcterms:W3CDTF">2024-08-12T17:48:19Z</dcterms:modified>
</cp:coreProperties>
</file>