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w:t>
      </w:r>
      <w:r>
        <w:rPr>
          <w:rFonts w:ascii="Times New Roman" w:cs="Times New Roman" w:eastAsia="Times New Roman" w:hAnsi="Times New Roman"/>
          <w:sz w:val="18"/>
          <w:szCs w:val="18"/>
          <w:color w:val="auto"/>
        </w:rPr>
        <w:t>(Date of earliest event reported):</w:t>
      </w:r>
      <w:r>
        <w:rPr>
          <w:rFonts w:ascii="Times New Roman" w:cs="Times New Roman" w:eastAsia="Times New Roman" w:hAnsi="Times New Roman"/>
          <w:sz w:val="18"/>
          <w:szCs w:val="18"/>
          <w:b w:val="1"/>
          <w:bCs w:val="1"/>
          <w:color w:val="auto"/>
        </w:rPr>
        <w:t xml:space="preserve"> June 29, 2026</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Rush Enterprises,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00" w:type="dxa"/>
        <w:tblCellMar>
          <w:top w:w="0" w:type="dxa"/>
          <w:left w:w="0" w:type="dxa"/>
          <w:bottom w:w="0" w:type="dxa"/>
          <w:right w:w="0" w:type="dxa"/>
        </w:tblCellMar>
      </w:tblPr>
      <w:tr>
        <w:trPr>
          <w:trHeight w:val="220"/>
        </w:trPr>
        <w:tc>
          <w:tcPr>
            <w:tcW w:w="290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352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0-20797</w:t>
            </w:r>
          </w:p>
        </w:tc>
        <w:tc>
          <w:tcPr>
            <w:tcW w:w="31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74-1733016</w:t>
            </w:r>
          </w:p>
        </w:tc>
      </w:tr>
      <w:tr>
        <w:trPr>
          <w:trHeight w:val="216"/>
        </w:trPr>
        <w:tc>
          <w:tcPr>
            <w:tcW w:w="29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(Commission File Number)</w:t>
            </w:r>
          </w:p>
        </w:tc>
        <w:tc>
          <w:tcPr>
            <w:tcW w:w="31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9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5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290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555 IH-35 South, Suite 500</w:t>
            </w:r>
          </w:p>
        </w:tc>
        <w:tc>
          <w:tcPr>
            <w:tcW w:w="3520" w:type="dxa"/>
            <w:vAlign w:val="bottom"/>
          </w:tcPr>
          <w:p>
            <w:pPr>
              <w:spacing w:after="0"/>
              <w:rPr>
                <w:sz w:val="24"/>
                <w:szCs w:val="24"/>
                <w:color w:val="auto"/>
              </w:rPr>
            </w:pPr>
          </w:p>
        </w:tc>
        <w:tc>
          <w:tcPr>
            <w:tcW w:w="31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78130</w:t>
            </w:r>
          </w:p>
        </w:tc>
      </w:tr>
      <w:tr>
        <w:trPr>
          <w:trHeight w:val="238"/>
        </w:trPr>
        <w:tc>
          <w:tcPr>
            <w:tcW w:w="290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New Braunfels, Texas</w:t>
            </w:r>
          </w:p>
        </w:tc>
        <w:tc>
          <w:tcPr>
            <w:tcW w:w="3520" w:type="dxa"/>
            <w:vAlign w:val="bottom"/>
          </w:tcPr>
          <w:p>
            <w:pPr>
              <w:spacing w:after="0"/>
              <w:rPr>
                <w:sz w:val="20"/>
                <w:szCs w:val="20"/>
                <w:color w:val="auto"/>
              </w:rPr>
            </w:pPr>
          </w:p>
        </w:tc>
        <w:tc>
          <w:tcPr>
            <w:tcW w:w="31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(Zip Code)</w:t>
            </w:r>
          </w:p>
        </w:tc>
      </w:tr>
    </w:tbl>
    <w:p>
      <w:pPr>
        <w:ind w:left="6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(830) 302-5200</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222885</wp:posOffset>
            </wp:positionV>
            <wp:extent cx="2708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RUSHA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B Common Stock, par value $0.01 per share</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RUSHB</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29, 2026, pursuant to the recommendation of the Compensation and Human Capital Committee of the Board of Directors (the “Board of Directors”) of Rush Enterprises, Inc. (the “Company”), the Board of Directors approved new base salaries, effective as of July 1, 2026, for the current named executive officers of the Company,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 Title</w:t>
            </w:r>
          </w:p>
        </w:tc>
        <w:tc>
          <w:tcPr>
            <w:tcW w:w="7660" w:type="dxa"/>
            <w:vAlign w:val="bottom"/>
          </w:tcPr>
          <w:p>
            <w:pPr>
              <w:spacing w:after="0"/>
              <w:rPr>
                <w:sz w:val="20"/>
                <w:szCs w:val="20"/>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Annual Base Salary</w:t>
            </w:r>
          </w:p>
        </w:tc>
      </w:tr>
      <w:tr>
        <w:trPr>
          <w:trHeight w:val="216"/>
        </w:trPr>
        <w:tc>
          <w:tcPr>
            <w:tcW w:w="890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8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1,855,802</w:t>
            </w:r>
          </w:p>
        </w:tc>
      </w:tr>
      <w:tr>
        <w:trPr>
          <w:trHeight w:val="198"/>
        </w:trPr>
        <w:tc>
          <w:tcPr>
            <w:tcW w:w="1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Steven L. Keller</w:t>
            </w:r>
          </w:p>
        </w:tc>
        <w:tc>
          <w:tcPr>
            <w:tcW w:w="7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4"/>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562,506</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Jody Pollard</w:t>
            </w:r>
          </w:p>
        </w:tc>
        <w:tc>
          <w:tcPr>
            <w:tcW w:w="7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8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530,450</w:t>
            </w:r>
          </w:p>
        </w:tc>
      </w:tr>
      <w:tr>
        <w:trPr>
          <w:trHeight w:val="198"/>
        </w:trPr>
        <w:tc>
          <w:tcPr>
            <w:tcW w:w="1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Corey Lowe</w:t>
            </w:r>
          </w:p>
        </w:tc>
        <w:tc>
          <w:tcPr>
            <w:tcW w:w="7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4"/>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Senior Vice President – Peterbilt Dealerships</w:t>
            </w: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527,193</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7.01</w:t>
            </w: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Regulation FD Disclosure.</w:t>
            </w: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30, 2026, the Company issued a press release announcing that the Company’s Class A common stock, par value $0.01 and Class B common stock, par value $0.01 (collectively, the “Common Stock”) has been approved for dual listing with Nasdaq Texas, LLC (“Nasdaq Texas”).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copy of the press release is attached as Exhibit 99.1 to this Form 8-K. The information in this Item 7.01 on Form 8-K (including the exhibit attached hereto) is being furnished under Item 7.01 and Item 8.01 and shall not be deemed “filed” for the purposes of Section 18 of the Securities Exchange Act of 1934, as amended (the “Exchange Act”), or otherwise subject to the liability of such section, nor shall it be deemed incorporated by reference in any filing under the Securities Act of 1933, as amended, or the Exchange Act, except as shall be expressly set forth by specific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30, 2026, the Company announced that it has applied and been approved to have its Common Stock dually listed with the Nasdaq Texas securities exchange. The Company expects the listing and trading of the Common Stock on Nasdaq Texas to commence on July 1, 2026, under the ticker symbols “RUSHA” and “RUSHB.” The Company will maintain its primary listing on the Nasdaq Global Select Market under its current ticker symbols, “RUSHA” and “RUSHB.”</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Rush Enterprises, Inc. press release dated June 30, 2026.</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RUSH ENTERPRISES,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30,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Michael Goldstone</w:t>
            </w:r>
          </w:p>
        </w:tc>
      </w:tr>
      <w:tr>
        <w:trPr>
          <w:trHeight w:val="191"/>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Senior Vice President, General Counsel and</w:t>
            </w:r>
          </w:p>
        </w:tc>
      </w:tr>
      <w:tr>
        <w:trPr>
          <w:trHeight w:val="234"/>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19685</wp:posOffset>
            </wp:positionV>
            <wp:extent cx="1123315" cy="702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331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Contact: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Enterprises, Inc., New Braunfels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L. Keller, 830-302-5226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ANNOUNCES DUAL LISTING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NASDAQ TEXAS EXCHANGE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BRAUNFELS, Texas, June 30, 2026 — Rush Enterprises, Inc. (NASDAQ: RUSHA &amp; RUSHB), which operates the largest network of commercial vehicle dealerships in North America, today announced the dual listing of its common stock on the Nasdaq Texas, LLC (“Nasdaq Texas”) exchange. The Company will maintain its primary listing on the Nasdaq Global Select Market, and the dual listing will not affect investors’ ability to buy or sell the Company’s common stock on the Nasdaq Global Select Market. Nasdaq Texas is a newly established dual listing exchange created to broaden capital access for companies with strong ties to Texas. The Company’s common stock will continue to trade under the ticker symbols “RUSHA” and “RUSHB,” and the dual listing will not involve the issuance of new shares or change the Company’s governance structure or reporting obligations. The Company expects the listing and trading of its common stock on Nasdaq Texas to commence on July 1, 2026.</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Rush Enterprises’ mission is to deliver best-in-class commercial vehicle solutions that enable our customers to keep the economy up and running across all of North America, our dealership roots are in Texas and our headquarters has always been here,” said W.M. “Rusty” Rush, Chairman, Chief Executive Officer and President of Rush Enterprises, Inc. “We have 55 locations in Texas, employ approximately 2400 individuals in Texas and serve countless customers across the Lone Star State. We have grown along with our home state and are proud to be a part of the opportunity and growth that Nasdaq Texas represents,” added Rush.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Rush Enterprises,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Rush Enterprises, Inc. is the premier solutions provider to the commercial vehicle industry. The Company owns and operates Rush Truck Centers, the largest network of commercial vehicle dealerships in North America, with more than 160 locations in 24 states and Ontario, Canada. These vehicle centers, strategically located in high traffic areas on or near major highways throughout the United States and Ontario, Canada, represent truck and bus manufacturers, including Peterbilt, International, Hino, Isuzu, Ford, IC Bus and Blue Bird. They offer an integrated approach to meeting customer needs – from sales of new and used vehicles to aftermarket parts, service and body shop operations plus financing, insurance, and leasing and rental solutions. Rush Enterprises' operations also provide CNG fuel systems (through its investment in Cummins Clean Fuel Technologies, Inc.), telematics products and other vehicle technologies, as well as vehicle modification and up-fitting, chrome accessories and tires. For more information, please visit us at www.rushtruckcenters.com and www.rushenterprises.com, on X @rushtruckcenter, Facebook.com/rushtruckcenters and www.linkedin.com/company/ rushenterprises-inc.</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Certain statements contained in this release, including those concerning current and projected market conditions, sales forecasts, market share forecast and anticipated demand for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services, 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statements (as such term is defined in the Private Securities Litigation Reform Act of 1995). Such forward-looking statements only speak as of the date of this release and the Company assumes no obligation to update the information included in this release. Because such statements include risks and uncertainties, actual results may differ materially from those expressed or implied by such forward-looking statements. Important factors that could cause actual results to differ materially from those expressed or implied by such forward-looking statements are disclosed in our annual report on Form 10-K for the fiscal year ended December 31,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2026-06-30T15:51:23Z</dcterms:created>
  <dcterms:modified xsi:type="dcterms:W3CDTF">2026-06-30T15:51:23Z</dcterms:modified>
</cp:coreProperties>
</file>