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rusha20240826_8k.htm"/>
      <w:bookmarkStart w:id="1" w:name="ksrusha20240826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UNITED STATES</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SECURITIES AND EXCHANGE COMMISSION</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Date of Report </w:t>
      </w:r>
      <w:r>
        <w:rPr>
          <w:rFonts w:ascii="Times New Roman" w:hAnsi="Times New Roman"/>
          <w:caps w:val="false"/>
          <w:smallCaps w:val="false"/>
          <w:sz w:val="20"/>
        </w:rPr>
        <w:t>(Date of earliest event reported): August 26,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Rush Enterprises,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205" w:type="dxa"/>
        <w:jc w:val="left"/>
        <w:tblInd w:w="0" w:type="dxa"/>
        <w:tblLayout w:type="fixed"/>
        <w:tblCellMar>
          <w:top w:w="0" w:type="dxa"/>
          <w:left w:w="0" w:type="dxa"/>
          <w:bottom w:w="0" w:type="dxa"/>
          <w:right w:w="0" w:type="dxa"/>
        </w:tblCellMar>
      </w:tblPr>
      <w:tblGrid>
        <w:gridCol w:w="3215"/>
        <w:gridCol w:w="2210"/>
        <w:gridCol w:w="278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Texas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of incorporation)</w:t>
            </w:r>
          </w:p>
        </w:tc>
        <w:tc>
          <w:tcPr>
            <w:tcW w:w="221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0-20797</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(Commission File Number)</w:t>
            </w:r>
          </w:p>
        </w:tc>
        <w:tc>
          <w:tcPr>
            <w:tcW w:w="278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74-1733016</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 Identification No.)</w:t>
            </w:r>
          </w:p>
        </w:tc>
      </w:tr>
      <w:tr>
        <w:trPr/>
        <w:tc>
          <w:tcPr>
            <w:tcW w:w="321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555 IH-35 South, Suite 500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New Braunfels, Texas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(Address of principal executive offices)</w:t>
            </w:r>
          </w:p>
        </w:tc>
        <w:tc>
          <w:tcPr>
            <w:tcW w:w="221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78130</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(830) 302-5200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br/>
        <w:t>______________________________________________</w:t>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28" w:type="dxa"/>
          <w:left w:w="28" w:type="dxa"/>
          <w:bottom w:w="28" w:type="dxa"/>
          <w:right w:w="0" w:type="dxa"/>
        </w:tblCellMar>
      </w:tblPr>
      <w:tblGrid>
        <w:gridCol w:w="3405"/>
        <w:gridCol w:w="1535"/>
        <w:gridCol w:w="3590"/>
      </w:tblGrid>
      <w:tr>
        <w:trPr/>
        <w:tc>
          <w:tcPr>
            <w:tcW w:w="340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Title of each class</w:t>
            </w:r>
          </w:p>
        </w:tc>
        <w:tc>
          <w:tcPr>
            <w:tcW w:w="15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Trading Symbol(s)</w:t>
            </w:r>
          </w:p>
        </w:tc>
        <w:tc>
          <w:tcPr>
            <w:tcW w:w="359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 of each exchange on which registered</w:t>
            </w:r>
          </w:p>
        </w:tc>
      </w:tr>
      <w:tr>
        <w:trPr/>
        <w:tc>
          <w:tcPr>
            <w:tcW w:w="3405" w:type="dxa"/>
            <w:tcBorders>
              <w:left w:val="single" w:sz="2" w:space="0" w:color="000000"/>
            </w:tcBorders>
            <w:tcMar>
              <w:top w:w="0" w:type="dxa"/>
              <w:bottom w:w="0" w:type="dxa"/>
            </w:tcMar>
            <w:vAlign w:val="center"/>
          </w:tcPr>
          <w:p>
            <w:pPr>
              <w:pStyle w:val="TableContents"/>
              <w:bidi w:val="0"/>
              <w:spacing w:before="0" w:after="0"/>
              <w:ind w:left="0" w:right="0" w:firstLine="10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Class A Common Stock, $0.01 par value</w:t>
            </w:r>
          </w:p>
        </w:tc>
        <w:tc>
          <w:tcPr>
            <w:tcW w:w="1535" w:type="dxa"/>
            <w:tcBorders>
              <w:left w:val="single" w:sz="2" w:space="0" w:color="000000"/>
            </w:tcBorders>
            <w:tcMar>
              <w:top w:w="0" w:type="dxa"/>
              <w:bottom w:w="0" w:type="dxa"/>
            </w:tcMar>
            <w:vAlign w:val="center"/>
          </w:tcPr>
          <w:p>
            <w:pPr>
              <w:pStyle w:val="TableContents"/>
              <w:bidi w:val="0"/>
              <w:spacing w:before="0" w:after="0"/>
              <w:ind w:left="0" w:right="0" w:firstLine="2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RUSHA</w:t>
            </w:r>
          </w:p>
        </w:tc>
        <w:tc>
          <w:tcPr>
            <w:tcW w:w="3590" w:type="dxa"/>
            <w:tcBorders>
              <w:left w:val="single" w:sz="2" w:space="0" w:color="000000"/>
              <w:right w:val="single" w:sz="2" w:space="0" w:color="000000"/>
            </w:tcBorders>
            <w:tcMar>
              <w:top w:w="0" w:type="dxa"/>
              <w:bottom w:w="0"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NASDAQ Global Select Market</w:t>
            </w:r>
          </w:p>
        </w:tc>
      </w:tr>
      <w:tr>
        <w:trPr/>
        <w:tc>
          <w:tcPr>
            <w:tcW w:w="3405" w:type="dxa"/>
            <w:tcBorders>
              <w:left w:val="single" w:sz="2" w:space="0" w:color="000000"/>
              <w:bottom w:val="single" w:sz="2" w:space="0" w:color="000000"/>
            </w:tcBorders>
            <w:tcMar>
              <w:top w:w="0" w:type="dxa"/>
            </w:tcMar>
            <w:vAlign w:val="center"/>
          </w:tcPr>
          <w:p>
            <w:pPr>
              <w:pStyle w:val="TableContents"/>
              <w:bidi w:val="0"/>
              <w:spacing w:before="0" w:after="0"/>
              <w:ind w:left="0" w:right="0" w:firstLine="10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Class B Common Stock, $0.01 par value</w:t>
            </w:r>
          </w:p>
        </w:tc>
        <w:tc>
          <w:tcPr>
            <w:tcW w:w="15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RUSHB</w:t>
            </w:r>
          </w:p>
        </w:tc>
        <w:tc>
          <w:tcPr>
            <w:tcW w:w="359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senior management of Rush Enterprises, Inc. (the “Company”) meets with current and potential investors and business analysts. The Company intends to use the presentation furnished as Exhibit 99.1 to this Current Report on Form 8-K and incorporated into this Item 7.01 by reference (the “Investor Presentation”), at these meetings over the next couple of months. The Company intends to post the Investor Presentation in the “Investor Relations” section of its website at www.rushenterprises.com. The Company reserves the right to discontinue the availability of the Investor Presentation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furnished in this Item 7.01, including Exhibit 99.1, shall not be deemed to be “filed” for purposes of Section 18 of the Securities Exchange Act of 1934, as amended (the “Exchange Act”), or otherwise subject to the liabilities of that section, unless the Company specifically states that the information is to be considered “filed” under the Exchange Act or incorporates it by reference into a filing under the Exchange Act or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i/>
          <w:caps w:val="false"/>
          <w:smallCaps w:val="false"/>
          <w:sz w:val="20"/>
        </w:rPr>
        <w:t>Exhibits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380"/>
        <w:gridCol w:w="3530"/>
      </w:tblGrid>
      <w:tr>
        <w:trPr/>
        <w:tc>
          <w:tcPr>
            <w:tcW w:w="3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99.1</w:t>
            </w:r>
          </w:p>
        </w:tc>
        <w:tc>
          <w:tcPr>
            <w:tcW w:w="3530" w:type="dxa"/>
            <w:tcBorders/>
            <w:vAlign w:val="center"/>
          </w:tcPr>
          <w:p>
            <w:pPr>
              <w:pStyle w:val="TableContents"/>
              <w:bidi w:val="0"/>
              <w:spacing w:before="0" w:after="0"/>
              <w:ind w:left="0" w:right="0" w:hanging="0"/>
              <w:jc w:val="both"/>
              <w:rPr/>
            </w:pPr>
            <w:hyperlink w:anchor="ex_718561.htm">
              <w:r>
                <w:rPr>
                  <w:rStyle w:val="InternetLink"/>
                  <w:rFonts w:ascii="Times New Roman;Times;serif" w:hAnsi="Times New Roman;Times;serif"/>
                  <w:sz w:val="20"/>
                </w:rPr>
                <w:t>Rush Enterprises, Inc. Investor Presentation</w:t>
              </w:r>
            </w:hyperlink>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335"/>
        <w:gridCol w:w="4940"/>
      </w:tblGrid>
      <w:tr>
        <w:trPr/>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49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2300"/>
        <w:gridCol w:w="60"/>
        <w:gridCol w:w="3575"/>
        <w:gridCol w:w="23"/>
      </w:tblGrid>
      <w:tr>
        <w:trPr/>
        <w:tc>
          <w:tcPr>
            <w:tcW w:w="2300" w:type="dxa"/>
            <w:tcBorders/>
          </w:tcPr>
          <w:p>
            <w:pPr>
              <w:pStyle w:val="TableContents"/>
              <w:bidi w:val="0"/>
              <w:spacing w:before="0" w:after="283"/>
              <w:ind w:left="0" w:right="0" w:hanging="0"/>
              <w:jc w:val="left"/>
              <w:rPr>
                <w:sz w:val="4"/>
                <w:szCs w:val="4"/>
              </w:rPr>
            </w:pPr>
            <w:r>
              <w:rPr>
                <w:sz w:val="4"/>
                <w:szCs w:val="4"/>
              </w:rPr>
            </w:r>
          </w:p>
        </w:tc>
        <w:tc>
          <w:tcPr>
            <w:tcW w:w="3635" w:type="dxa"/>
            <w:gridSpan w:val="2"/>
            <w:tcBorders/>
          </w:tcPr>
          <w:p>
            <w:pPr>
              <w:pStyle w:val="TableContents"/>
              <w:bidi w:val="0"/>
              <w:spacing w:before="0" w:after="283"/>
              <w:jc w:val="left"/>
              <w:rPr/>
            </w:pPr>
            <w:r>
              <w:rPr/>
              <w:t>RUSH ENTERPRISES, INC.</w:t>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2300" w:type="dxa"/>
            <w:tcBorders/>
          </w:tcPr>
          <w:p>
            <w:pPr>
              <w:pStyle w:val="TableContents"/>
              <w:bidi w:val="0"/>
              <w:spacing w:before="0" w:after="283"/>
              <w:ind w:left="0" w:right="0" w:hanging="0"/>
              <w:jc w:val="left"/>
              <w:rPr>
                <w:sz w:val="4"/>
                <w:szCs w:val="4"/>
              </w:rPr>
            </w:pPr>
            <w:r>
              <w:rPr>
                <w:sz w:val="4"/>
                <w:szCs w:val="4"/>
              </w:rPr>
            </w:r>
          </w:p>
        </w:tc>
        <w:tc>
          <w:tcPr>
            <w:tcW w:w="60" w:type="dxa"/>
            <w:tcBorders/>
          </w:tcPr>
          <w:p>
            <w:pPr>
              <w:pStyle w:val="TableContents"/>
              <w:bidi w:val="0"/>
              <w:spacing w:before="0" w:after="283"/>
              <w:ind w:left="0" w:right="0" w:hanging="0"/>
              <w:jc w:val="left"/>
              <w:rPr>
                <w:sz w:val="4"/>
                <w:szCs w:val="4"/>
              </w:rPr>
            </w:pPr>
            <w:r>
              <w:rPr>
                <w:sz w:val="4"/>
                <w:szCs w:val="4"/>
              </w:rPr>
            </w:r>
          </w:p>
        </w:tc>
        <w:tc>
          <w:tcPr>
            <w:tcW w:w="3575" w:type="dxa"/>
            <w:tcBorders/>
            <w:vAlign w:val="bottom"/>
          </w:tcPr>
          <w:p>
            <w:pPr>
              <w:pStyle w:val="TableContents"/>
              <w:bidi w:val="0"/>
              <w:spacing w:before="0" w:after="283"/>
              <w:ind w:left="0" w:right="0" w:hanging="0"/>
              <w:jc w:val="left"/>
              <w:rPr>
                <w:sz w:val="4"/>
                <w:szCs w:val="4"/>
              </w:rPr>
            </w:pPr>
            <w:r>
              <w:rPr>
                <w:sz w:val="4"/>
                <w:szCs w:val="4"/>
              </w:rPr>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2300" w:type="dxa"/>
            <w:tcBorders/>
          </w:tcPr>
          <w:p>
            <w:pPr>
              <w:pStyle w:val="TableContents"/>
              <w:bidi w:val="0"/>
              <w:spacing w:before="0" w:after="283"/>
              <w:jc w:val="left"/>
              <w:rPr/>
            </w:pPr>
            <w:r>
              <w:rPr/>
              <w:t>Dated: August 26, 2024</w:t>
            </w:r>
          </w:p>
        </w:tc>
        <w:tc>
          <w:tcPr>
            <w:tcW w:w="60" w:type="dxa"/>
            <w:tcBorders/>
          </w:tcPr>
          <w:p>
            <w:pPr>
              <w:pStyle w:val="TableContents"/>
              <w:bidi w:val="0"/>
              <w:spacing w:before="0" w:after="0"/>
              <w:ind w:left="0" w:right="0" w:hanging="0"/>
              <w:jc w:val="left"/>
              <w:rPr/>
            </w:pPr>
            <w:r>
              <w:rPr/>
              <w:t> </w:t>
            </w:r>
          </w:p>
        </w:tc>
        <w:tc>
          <w:tcPr>
            <w:tcW w:w="3575" w:type="dxa"/>
            <w:tcBorders/>
          </w:tcPr>
          <w:p>
            <w:pPr>
              <w:pStyle w:val="TableContents"/>
              <w:bidi w:val="0"/>
              <w:spacing w:before="0" w:after="283"/>
              <w:jc w:val="left"/>
              <w:rPr/>
            </w:pPr>
            <w:r>
              <w:rPr/>
              <w:t xml:space="preserve">By: </w:t>
            </w:r>
            <w:r>
              <w:rPr>
                <w:u w:val="single"/>
              </w:rPr>
              <w:t>/s/ Steven L. Keller</w:t>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2300" w:type="dxa"/>
            <w:tcBorders/>
          </w:tcPr>
          <w:p>
            <w:pPr>
              <w:pStyle w:val="TableContents"/>
              <w:bidi w:val="0"/>
              <w:spacing w:before="0" w:after="283"/>
              <w:ind w:left="0" w:right="0" w:hanging="0"/>
              <w:jc w:val="left"/>
              <w:rPr>
                <w:sz w:val="4"/>
                <w:szCs w:val="4"/>
              </w:rPr>
            </w:pPr>
            <w:r>
              <w:rPr>
                <w:sz w:val="4"/>
                <w:szCs w:val="4"/>
              </w:rPr>
            </w:r>
          </w:p>
        </w:tc>
        <w:tc>
          <w:tcPr>
            <w:tcW w:w="60" w:type="dxa"/>
            <w:tcBorders/>
          </w:tcPr>
          <w:p>
            <w:pPr>
              <w:pStyle w:val="TableContents"/>
              <w:bidi w:val="0"/>
              <w:spacing w:before="0" w:after="283"/>
              <w:ind w:left="0" w:right="0" w:hanging="0"/>
              <w:jc w:val="left"/>
              <w:rPr>
                <w:sz w:val="4"/>
                <w:szCs w:val="4"/>
              </w:rPr>
            </w:pPr>
            <w:r>
              <w:rPr>
                <w:sz w:val="4"/>
                <w:szCs w:val="4"/>
              </w:rPr>
            </w:r>
          </w:p>
        </w:tc>
        <w:tc>
          <w:tcPr>
            <w:tcW w:w="3575" w:type="dxa"/>
            <w:tcBorders/>
          </w:tcPr>
          <w:p>
            <w:pPr>
              <w:pStyle w:val="TableContents"/>
              <w:bidi w:val="0"/>
              <w:spacing w:before="0" w:after="283"/>
              <w:jc w:val="left"/>
              <w:rPr/>
            </w:pPr>
            <w:r>
              <w:rPr/>
              <w:t>Steven L. Keller</w:t>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2300" w:type="dxa"/>
            <w:tcBorders/>
          </w:tcPr>
          <w:p>
            <w:pPr>
              <w:pStyle w:val="TableContents"/>
              <w:bidi w:val="0"/>
              <w:spacing w:before="0" w:after="283"/>
              <w:ind w:left="0" w:right="0" w:hanging="0"/>
              <w:jc w:val="left"/>
              <w:rPr>
                <w:sz w:val="4"/>
                <w:szCs w:val="4"/>
              </w:rPr>
            </w:pPr>
            <w:r>
              <w:rPr>
                <w:sz w:val="4"/>
                <w:szCs w:val="4"/>
              </w:rPr>
            </w:r>
          </w:p>
        </w:tc>
        <w:tc>
          <w:tcPr>
            <w:tcW w:w="60" w:type="dxa"/>
            <w:tcBorders/>
          </w:tcPr>
          <w:p>
            <w:pPr>
              <w:pStyle w:val="TableContents"/>
              <w:bidi w:val="0"/>
              <w:spacing w:before="0" w:after="283"/>
              <w:ind w:left="0" w:right="0" w:hanging="0"/>
              <w:jc w:val="left"/>
              <w:rPr>
                <w:sz w:val="4"/>
                <w:szCs w:val="4"/>
              </w:rPr>
            </w:pPr>
            <w:r>
              <w:rPr>
                <w:sz w:val="4"/>
                <w:szCs w:val="4"/>
              </w:rPr>
            </w:r>
          </w:p>
        </w:tc>
        <w:tc>
          <w:tcPr>
            <w:tcW w:w="3575" w:type="dxa"/>
            <w:tcBorders/>
          </w:tcPr>
          <w:p>
            <w:pPr>
              <w:pStyle w:val="TableContents"/>
              <w:bidi w:val="0"/>
              <w:spacing w:before="0" w:after="283"/>
              <w:jc w:val="left"/>
              <w:rPr/>
            </w:pPr>
            <w:r>
              <w:rPr/>
              <w:t>Chief Financial Officer and Treasurer</w:t>
            </w:r>
          </w:p>
        </w:tc>
        <w:tc>
          <w:tcPr>
            <w:tcW w:w="23" w:type="dxa"/>
            <w:tcBorders/>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ind w:left="0" w:right="0" w:firstLine="432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718561.htm"/>
      <w:bookmarkStart w:id="3" w:name="ksex_718561"/>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righ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2192000" cy="685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2192000" cy="68580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192000" cy="68580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569</Words>
  <Characters>3159</Characters>
  <CharactersWithSpaces>3800</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